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afterLines="250"/>
        <w:jc w:val="center"/>
        <w:rPr>
          <w:rFonts w:ascii="黑体" w:hAnsi="黑体" w:eastAsia="黑体"/>
          <w:b/>
          <w:sz w:val="52"/>
          <w:szCs w:val="52"/>
        </w:rPr>
      </w:pPr>
    </w:p>
    <w:p>
      <w:pPr>
        <w:spacing w:beforeLines="250" w:afterLines="250"/>
        <w:jc w:val="center"/>
        <w:rPr>
          <w:rFonts w:ascii="黑体" w:hAnsi="黑体" w:eastAsia="黑体" w:cs="宋体"/>
          <w:b/>
          <w:kern w:val="0"/>
          <w:sz w:val="44"/>
          <w:szCs w:val="44"/>
        </w:rPr>
      </w:pPr>
      <w:r>
        <w:rPr>
          <w:rFonts w:hint="eastAsia" w:ascii="黑体" w:hAnsi="黑体" w:eastAsia="黑体"/>
          <w:b/>
          <w:sz w:val="44"/>
          <w:szCs w:val="44"/>
        </w:rPr>
        <w:t>全自行剪叉式高空作业</w:t>
      </w:r>
      <w:r>
        <w:rPr>
          <w:rFonts w:hint="eastAsia" w:ascii="黑体" w:hAnsi="黑体" w:eastAsia="黑体" w:cs="宋体"/>
          <w:b/>
          <w:kern w:val="0"/>
          <w:sz w:val="44"/>
          <w:szCs w:val="44"/>
        </w:rPr>
        <w:t>平台</w:t>
      </w:r>
    </w:p>
    <w:p>
      <w:pPr>
        <w:spacing w:beforeLines="250" w:afterLines="250"/>
        <w:jc w:val="center"/>
        <w:rPr>
          <w:rFonts w:ascii="黑体" w:hAnsi="黑体" w:eastAsia="黑体"/>
          <w:b/>
          <w:sz w:val="52"/>
          <w:szCs w:val="52"/>
        </w:rPr>
      </w:pPr>
      <w:r>
        <w:rPr>
          <w:rFonts w:hint="eastAsia" w:ascii="黑体" w:hAnsi="黑体" w:eastAsia="黑体"/>
          <w:b/>
          <w:sz w:val="52"/>
          <w:szCs w:val="52"/>
          <w:lang w:val="en-US" w:eastAsia="zh-CN"/>
        </w:rPr>
        <w:t>S</w:t>
      </w:r>
      <w:r>
        <w:rPr>
          <w:rFonts w:hint="eastAsia" w:ascii="黑体" w:hAnsi="黑体" w:eastAsia="黑体"/>
          <w:b/>
          <w:sz w:val="52"/>
          <w:szCs w:val="52"/>
        </w:rPr>
        <w:t>1012HD/</w:t>
      </w:r>
      <w:r>
        <w:rPr>
          <w:rFonts w:hint="eastAsia" w:ascii="黑体" w:hAnsi="黑体" w:eastAsia="黑体"/>
          <w:b/>
          <w:sz w:val="52"/>
          <w:szCs w:val="52"/>
          <w:lang w:val="en-US" w:eastAsia="zh-CN"/>
        </w:rPr>
        <w:t>S</w:t>
      </w:r>
      <w:r>
        <w:rPr>
          <w:rFonts w:hint="eastAsia" w:ascii="黑体" w:hAnsi="黑体" w:eastAsia="黑体"/>
          <w:b/>
          <w:sz w:val="52"/>
          <w:szCs w:val="52"/>
        </w:rPr>
        <w:t>1012DC</w:t>
      </w:r>
    </w:p>
    <w:p>
      <w:pPr>
        <w:spacing w:beforeLines="250" w:afterLines="250"/>
        <w:jc w:val="center"/>
        <w:rPr>
          <w:rFonts w:ascii="黑体" w:hAnsi="黑体" w:eastAsia="黑体"/>
          <w:b/>
          <w:sz w:val="52"/>
          <w:szCs w:val="52"/>
        </w:rPr>
      </w:pPr>
      <w:r>
        <w:rPr>
          <w:rFonts w:hint="eastAsia" w:ascii="黑体" w:hAnsi="黑体" w:eastAsia="黑体"/>
          <w:b/>
          <w:sz w:val="52"/>
          <w:szCs w:val="52"/>
        </w:rPr>
        <w:t xml:space="preserve"> [GTJZ1012HD</w:t>
      </w:r>
      <w:r>
        <w:rPr>
          <w:rFonts w:hint="eastAsia" w:ascii="黑体" w:hAnsi="黑体" w:eastAsia="黑体"/>
          <w:b/>
          <w:sz w:val="52"/>
          <w:szCs w:val="52"/>
          <w:lang w:val="en-US" w:eastAsia="zh-CN"/>
        </w:rPr>
        <w:t>/DC</w:t>
      </w:r>
      <w:r>
        <w:rPr>
          <w:rFonts w:hint="eastAsia" w:ascii="黑体" w:hAnsi="黑体" w:eastAsia="黑体"/>
          <w:b/>
          <w:sz w:val="52"/>
          <w:szCs w:val="52"/>
        </w:rPr>
        <w:t>]</w:t>
      </w:r>
    </w:p>
    <w:p>
      <w:pPr>
        <w:spacing w:beforeLines="250" w:afterLines="250"/>
        <w:ind w:firstLine="3654" w:firstLineChars="700"/>
        <w:rPr>
          <w:rFonts w:ascii="黑体" w:hAnsi="黑体" w:eastAsia="黑体"/>
          <w:b/>
          <w:sz w:val="52"/>
          <w:szCs w:val="52"/>
        </w:rPr>
      </w:pPr>
      <w:r>
        <w:rPr>
          <w:rFonts w:hint="eastAsia" w:ascii="黑体" w:hAnsi="黑体" w:eastAsia="黑体"/>
          <w:b/>
          <w:sz w:val="52"/>
          <w:szCs w:val="52"/>
        </w:rPr>
        <w:t xml:space="preserve"> </w:t>
      </w:r>
      <w:r>
        <w:rPr>
          <w:rFonts w:hint="eastAsia" w:ascii="黑体" w:hAnsi="黑体" w:eastAsia="黑体" w:cs="宋体"/>
          <w:b/>
          <w:kern w:val="0"/>
          <w:sz w:val="44"/>
          <w:szCs w:val="44"/>
        </w:rPr>
        <w:t>产 品 资 料</w:t>
      </w:r>
    </w:p>
    <w:p>
      <w:pPr>
        <w:spacing w:beforeLines="250" w:afterLines="250"/>
        <w:ind w:left="3447" w:leftChars="800" w:hanging="1767" w:hangingChars="400"/>
        <w:rPr>
          <w:rFonts w:hint="eastAsia"/>
          <w:b/>
          <w:sz w:val="28"/>
          <w:szCs w:val="28"/>
        </w:rPr>
      </w:pPr>
      <w:r>
        <w:rPr>
          <w:rFonts w:ascii="黑体" w:hAnsi="黑体" w:eastAsia="黑体" w:cs="宋体"/>
          <w:b/>
          <w:kern w:val="0"/>
          <w:sz w:val="44"/>
          <w:szCs w:val="44"/>
        </w:rPr>
        <w:drawing>
          <wp:inline distT="0" distB="0" distL="0" distR="0">
            <wp:extent cx="4123690" cy="3091815"/>
            <wp:effectExtent l="19050" t="0" r="0" b="0"/>
            <wp:docPr id="1" name="图片 1" descr="E:\工作文档\高空事业部\素材图\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工作文档\高空事业部\素材图\555.jpg"/>
                    <pic:cNvPicPr>
                      <a:picLocks noChangeAspect="1" noChangeArrowheads="1"/>
                    </pic:cNvPicPr>
                  </pic:nvPicPr>
                  <pic:blipFill>
                    <a:blip r:embed="rId10" cstate="print"/>
                    <a:srcRect/>
                    <a:stretch>
                      <a:fillRect/>
                    </a:stretch>
                  </pic:blipFill>
                  <pic:spPr>
                    <a:xfrm>
                      <a:off x="0" y="0"/>
                      <a:ext cx="4126257" cy="3093725"/>
                    </a:xfrm>
                    <a:prstGeom prst="rect">
                      <a:avLst/>
                    </a:prstGeom>
                    <a:noFill/>
                    <a:ln w="9525">
                      <a:noFill/>
                      <a:miter lim="800000"/>
                      <a:headEnd/>
                      <a:tailEnd/>
                    </a:ln>
                  </pic:spPr>
                </pic:pic>
              </a:graphicData>
            </a:graphic>
          </wp:inline>
        </w:drawing>
      </w:r>
      <w:r>
        <w:rPr>
          <w:rFonts w:ascii="黑体" w:hAnsi="黑体" w:eastAsia="黑体" w:cs="宋体"/>
          <w:b/>
          <w:kern w:val="0"/>
          <w:sz w:val="44"/>
          <w:szCs w:val="44"/>
        </w:rPr>
        <w:br w:type="textWrapping" w:clear="all"/>
      </w:r>
    </w:p>
    <w:p>
      <w:pPr>
        <w:spacing w:beforeLines="250" w:afterLines="250"/>
        <w:ind w:left="2520" w:leftChars="1200" w:firstLine="703" w:firstLineChars="250"/>
        <w:rPr>
          <w:rFonts w:ascii="黑体" w:hAnsi="黑体" w:eastAsia="黑体" w:cs="宋体"/>
          <w:b/>
          <w:kern w:val="0"/>
          <w:sz w:val="44"/>
          <w:szCs w:val="44"/>
        </w:rPr>
      </w:pPr>
      <w:r>
        <w:rPr>
          <w:rFonts w:hint="eastAsia"/>
          <w:b/>
          <w:sz w:val="28"/>
          <w:szCs w:val="28"/>
        </w:rPr>
        <w:t>河南江河特种车辆</w:t>
      </w:r>
      <w:r>
        <w:rPr>
          <w:rFonts w:hint="eastAsia"/>
          <w:b/>
          <w:sz w:val="28"/>
          <w:szCs w:val="28"/>
          <w:lang w:eastAsia="zh-CN"/>
        </w:rPr>
        <w:t>科技</w:t>
      </w:r>
      <w:r>
        <w:rPr>
          <w:rFonts w:hint="eastAsia"/>
          <w:b/>
          <w:sz w:val="28"/>
          <w:szCs w:val="28"/>
        </w:rPr>
        <w:t>有限公司</w:t>
      </w:r>
    </w:p>
    <w:p>
      <w:pPr>
        <w:spacing w:line="480" w:lineRule="auto"/>
        <w:rPr>
          <w:rFonts w:hint="eastAsia" w:ascii="黑体" w:hAnsi="黑体" w:eastAsia="黑体" w:cs="宋体"/>
          <w:b/>
          <w:kern w:val="0"/>
          <w:sz w:val="44"/>
          <w:szCs w:val="44"/>
        </w:rPr>
      </w:pPr>
    </w:p>
    <w:p>
      <w:pPr>
        <w:spacing w:line="480" w:lineRule="auto"/>
        <w:rPr>
          <w:rFonts w:hint="eastAsia" w:ascii="黑体" w:hAnsi="黑体" w:eastAsia="黑体" w:cs="宋体"/>
          <w:b/>
          <w:kern w:val="0"/>
          <w:sz w:val="44"/>
          <w:szCs w:val="44"/>
        </w:rPr>
      </w:pPr>
    </w:p>
    <w:p>
      <w:pPr>
        <w:spacing w:line="480" w:lineRule="auto"/>
        <w:rPr>
          <w:rFonts w:ascii="黑体" w:hAnsi="黑体" w:eastAsia="黑体"/>
          <w:b/>
          <w:sz w:val="36"/>
          <w:szCs w:val="36"/>
        </w:rPr>
      </w:pPr>
    </w:p>
    <w:p>
      <w:pPr>
        <w:spacing w:line="480" w:lineRule="auto"/>
        <w:ind w:firstLine="3560" w:firstLineChars="985"/>
        <w:rPr>
          <w:rFonts w:ascii="黑体" w:hAnsi="黑体" w:eastAsia="黑体"/>
          <w:b/>
          <w:sz w:val="36"/>
          <w:szCs w:val="36"/>
        </w:rPr>
      </w:pPr>
      <w:r>
        <w:rPr>
          <w:rFonts w:hint="eastAsia" w:ascii="黑体" w:hAnsi="黑体" w:eastAsia="黑体"/>
          <w:b/>
          <w:sz w:val="36"/>
          <w:szCs w:val="36"/>
        </w:rPr>
        <w:t>目 录</w:t>
      </w:r>
    </w:p>
    <w:p>
      <w:pPr>
        <w:spacing w:line="360" w:lineRule="auto"/>
        <w:rPr>
          <w:rFonts w:ascii="黑体" w:hAnsi="黑体" w:eastAsia="黑体"/>
          <w:sz w:val="28"/>
          <w:szCs w:val="28"/>
        </w:rPr>
      </w:pPr>
      <w:r>
        <w:rPr>
          <w:rFonts w:hint="eastAsia" w:ascii="黑体" w:hAnsi="黑体" w:eastAsia="黑体"/>
          <w:sz w:val="28"/>
          <w:szCs w:val="28"/>
        </w:rPr>
        <w:t>一、主要技术参数………………………………………………………</w:t>
      </w:r>
    </w:p>
    <w:p>
      <w:pPr>
        <w:spacing w:line="360" w:lineRule="auto"/>
        <w:rPr>
          <w:rFonts w:ascii="黑体" w:hAnsi="黑体" w:eastAsia="黑体"/>
          <w:sz w:val="28"/>
          <w:szCs w:val="28"/>
        </w:rPr>
      </w:pPr>
      <w:r>
        <w:rPr>
          <w:rFonts w:hint="eastAsia" w:ascii="黑体" w:hAnsi="黑体" w:eastAsia="黑体" w:cs="Arial"/>
          <w:sz w:val="28"/>
          <w:szCs w:val="28"/>
        </w:rPr>
        <w:t xml:space="preserve">二、主要配置表 </w:t>
      </w:r>
      <w:r>
        <w:rPr>
          <w:rFonts w:hint="eastAsia" w:ascii="黑体" w:hAnsi="黑体" w:eastAsia="黑体"/>
          <w:sz w:val="28"/>
          <w:szCs w:val="28"/>
        </w:rPr>
        <w:t xml:space="preserve">……………………………………………… </w:t>
      </w:r>
    </w:p>
    <w:p>
      <w:pPr>
        <w:spacing w:line="360" w:lineRule="auto"/>
        <w:rPr>
          <w:rFonts w:ascii="黑体" w:hAnsi="黑体" w:eastAsia="黑体"/>
          <w:sz w:val="28"/>
          <w:szCs w:val="28"/>
        </w:rPr>
      </w:pPr>
      <w:r>
        <w:rPr>
          <w:rFonts w:hint="eastAsia" w:ascii="黑体" w:hAnsi="黑体" w:eastAsia="黑体"/>
          <w:sz w:val="28"/>
          <w:szCs w:val="28"/>
        </w:rPr>
        <w:t xml:space="preserve">三、整车结构示意图………………………………………  </w:t>
      </w:r>
    </w:p>
    <w:p>
      <w:pPr>
        <w:spacing w:line="360" w:lineRule="auto"/>
        <w:rPr>
          <w:rFonts w:ascii="黑体" w:hAnsi="黑体" w:eastAsia="黑体"/>
          <w:sz w:val="28"/>
          <w:szCs w:val="28"/>
        </w:rPr>
      </w:pPr>
      <w:r>
        <w:rPr>
          <w:rFonts w:hint="eastAsia" w:ascii="黑体" w:hAnsi="黑体" w:eastAsia="黑体" w:cs="Arial"/>
          <w:sz w:val="28"/>
          <w:szCs w:val="28"/>
        </w:rPr>
        <w:t xml:space="preserve">四、简介及技术特点………………………………………… </w:t>
      </w:r>
    </w:p>
    <w:p>
      <w:pPr>
        <w:spacing w:line="360" w:lineRule="auto"/>
        <w:rPr>
          <w:rFonts w:ascii="黑体" w:hAnsi="黑体" w:eastAsia="黑体"/>
          <w:sz w:val="28"/>
          <w:szCs w:val="28"/>
        </w:rPr>
      </w:pPr>
      <w:r>
        <w:rPr>
          <w:rFonts w:hint="eastAsia" w:ascii="黑体" w:hAnsi="黑体" w:eastAsia="黑体"/>
          <w:sz w:val="28"/>
          <w:szCs w:val="28"/>
        </w:rPr>
        <w:t xml:space="preserve">五、技术图纸资料……………………………………………………  </w:t>
      </w:r>
    </w:p>
    <w:p>
      <w:pPr>
        <w:spacing w:line="360" w:lineRule="auto"/>
        <w:rPr>
          <w:rFonts w:ascii="黑体" w:hAnsi="黑体" w:eastAsia="黑体"/>
          <w:sz w:val="28"/>
          <w:szCs w:val="28"/>
        </w:rPr>
      </w:pPr>
      <w:r>
        <w:rPr>
          <w:rFonts w:hint="eastAsia" w:ascii="黑体" w:hAnsi="黑体" w:eastAsia="黑体"/>
          <w:sz w:val="28"/>
          <w:szCs w:val="28"/>
        </w:rPr>
        <w:t xml:space="preserve">六、随机备件及工具………………………………………………… </w:t>
      </w:r>
    </w:p>
    <w:p>
      <w:pPr>
        <w:spacing w:line="360" w:lineRule="auto"/>
        <w:rPr>
          <w:rFonts w:ascii="黑体" w:hAnsi="黑体" w:eastAsia="黑体"/>
          <w:bCs/>
          <w:sz w:val="28"/>
          <w:szCs w:val="28"/>
        </w:rPr>
      </w:pPr>
      <w:r>
        <w:rPr>
          <w:rFonts w:hint="eastAsia" w:ascii="黑体" w:hAnsi="黑体" w:eastAsia="黑体"/>
          <w:bCs/>
          <w:sz w:val="28"/>
          <w:szCs w:val="28"/>
        </w:rPr>
        <w:t xml:space="preserve">七、培训验收…………………………………………………………   </w:t>
      </w:r>
    </w:p>
    <w:p>
      <w:pPr>
        <w:spacing w:line="360" w:lineRule="auto"/>
        <w:rPr>
          <w:rFonts w:ascii="黑体" w:hAnsi="黑体" w:eastAsia="黑体"/>
          <w:sz w:val="28"/>
          <w:szCs w:val="28"/>
        </w:rPr>
      </w:pPr>
      <w:r>
        <w:rPr>
          <w:rFonts w:hint="eastAsia" w:ascii="黑体" w:hAnsi="黑体" w:eastAsia="黑体"/>
          <w:sz w:val="28"/>
          <w:szCs w:val="28"/>
        </w:rPr>
        <w:t xml:space="preserve">八、质保期……………………………………………………………   </w:t>
      </w:r>
    </w:p>
    <w:p>
      <w:pPr>
        <w:spacing w:line="360" w:lineRule="auto"/>
        <w:rPr>
          <w:rFonts w:ascii="黑体" w:hAnsi="黑体" w:eastAsia="黑体"/>
          <w:sz w:val="28"/>
          <w:szCs w:val="28"/>
        </w:rPr>
      </w:pPr>
      <w:r>
        <w:rPr>
          <w:rFonts w:hint="eastAsia" w:ascii="黑体" w:hAnsi="黑体" w:eastAsia="黑体"/>
          <w:sz w:val="28"/>
          <w:szCs w:val="28"/>
        </w:rPr>
        <w:t xml:space="preserve">九、运输进场方案……………………………………………………   </w:t>
      </w:r>
    </w:p>
    <w:p>
      <w:pPr>
        <w:spacing w:line="360" w:lineRule="auto"/>
        <w:rPr>
          <w:rFonts w:ascii="黑体" w:hAnsi="黑体" w:eastAsia="黑体"/>
          <w:sz w:val="28"/>
          <w:szCs w:val="28"/>
        </w:rPr>
      </w:pPr>
      <w:r>
        <w:rPr>
          <w:rFonts w:hint="eastAsia" w:ascii="黑体" w:hAnsi="黑体" w:eastAsia="黑体"/>
          <w:sz w:val="28"/>
          <w:szCs w:val="28"/>
        </w:rPr>
        <w:t xml:space="preserve">十、售后服务………………………………………………………… </w:t>
      </w:r>
    </w:p>
    <w:p>
      <w:pPr>
        <w:spacing w:line="360" w:lineRule="auto"/>
        <w:rPr>
          <w:rFonts w:ascii="黑体" w:hAnsi="黑体" w:eastAsia="黑体"/>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adjustRightInd w:val="0"/>
        <w:snapToGrid w:val="0"/>
        <w:spacing w:line="480" w:lineRule="auto"/>
        <w:rPr>
          <w:rFonts w:ascii="黑体" w:hAnsi="黑体" w:eastAsia="黑体"/>
          <w:b/>
          <w:sz w:val="28"/>
          <w:szCs w:val="28"/>
        </w:rPr>
      </w:pPr>
    </w:p>
    <w:p>
      <w:pPr>
        <w:adjustRightInd w:val="0"/>
        <w:snapToGrid w:val="0"/>
        <w:spacing w:line="480" w:lineRule="auto"/>
        <w:rPr>
          <w:rFonts w:ascii="黑体" w:hAnsi="黑体" w:eastAsia="黑体"/>
          <w:b/>
          <w:sz w:val="28"/>
          <w:szCs w:val="28"/>
        </w:rPr>
      </w:pPr>
      <w:r>
        <w:rPr>
          <w:rFonts w:hint="eastAsia" w:ascii="黑体" w:hAnsi="黑体" w:eastAsia="黑体"/>
          <w:b/>
          <w:sz w:val="28"/>
          <w:szCs w:val="28"/>
        </w:rPr>
        <w:t>一、主要技术参数</w:t>
      </w:r>
    </w:p>
    <w:tbl>
      <w:tblPr>
        <w:tblStyle w:val="7"/>
        <w:tblW w:w="8930" w:type="dxa"/>
        <w:jc w:val="center"/>
        <w:tblLayout w:type="fixed"/>
        <w:tblCellMar>
          <w:top w:w="0" w:type="dxa"/>
          <w:left w:w="108" w:type="dxa"/>
          <w:bottom w:w="0" w:type="dxa"/>
          <w:right w:w="108" w:type="dxa"/>
        </w:tblCellMar>
      </w:tblPr>
      <w:tblGrid>
        <w:gridCol w:w="1301"/>
        <w:gridCol w:w="1559"/>
        <w:gridCol w:w="3011"/>
        <w:gridCol w:w="3059"/>
      </w:tblGrid>
      <w:tr>
        <w:tblPrEx>
          <w:tblCellMar>
            <w:top w:w="0" w:type="dxa"/>
            <w:left w:w="108" w:type="dxa"/>
            <w:bottom w:w="0" w:type="dxa"/>
            <w:right w:w="108" w:type="dxa"/>
          </w:tblCellMar>
        </w:tblPrEx>
        <w:trPr>
          <w:trHeight w:val="500" w:hRule="atLeast"/>
          <w:jc w:val="center"/>
        </w:trPr>
        <w:tc>
          <w:tcPr>
            <w:tcW w:w="2860" w:type="dxa"/>
            <w:gridSpan w:val="2"/>
            <w:tcBorders>
              <w:top w:val="single" w:color="auto" w:sz="4" w:space="0"/>
              <w:left w:val="single" w:color="auto" w:sz="4" w:space="0"/>
              <w:bottom w:val="single" w:color="auto" w:sz="4" w:space="0"/>
              <w:right w:val="single" w:color="000000" w:sz="4" w:space="0"/>
            </w:tcBorders>
            <w:shd w:val="clear" w:color="auto" w:fill="22F222"/>
            <w:vAlign w:val="center"/>
          </w:tcPr>
          <w:p>
            <w:pPr>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参数</w:t>
            </w:r>
          </w:p>
        </w:tc>
        <w:tc>
          <w:tcPr>
            <w:tcW w:w="3011"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1012HD</w:t>
            </w:r>
          </w:p>
        </w:tc>
        <w:tc>
          <w:tcPr>
            <w:tcW w:w="3059"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1012DC</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平台承载能力</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450Kg</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450Kg</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工作高度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10.1m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10.1m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平台最大高度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8.1m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8.1m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平台最低高度（围栏折叠）</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2.07m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2.07m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cs="宋体"/>
                <w:bCs/>
                <w:sz w:val="24"/>
                <w:szCs w:val="24"/>
              </w:rPr>
              <w:t>整车外形尺寸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长2.42*宽1017*</w:t>
            </w:r>
          </w:p>
          <w:p>
            <w:pPr>
              <w:jc w:val="center"/>
              <w:rPr>
                <w:rFonts w:ascii="黑体" w:hAnsi="黑体" w:eastAsia="黑体"/>
                <w:sz w:val="24"/>
                <w:szCs w:val="24"/>
              </w:rPr>
            </w:pPr>
            <w:r>
              <w:rPr>
                <w:rFonts w:hint="eastAsia" w:ascii="黑体" w:hAnsi="黑体" w:eastAsia="黑体"/>
                <w:sz w:val="24"/>
                <w:szCs w:val="24"/>
              </w:rPr>
              <w:t>高2.36（护栏未折叠）m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长2.42*宽1017*</w:t>
            </w:r>
          </w:p>
          <w:p>
            <w:pPr>
              <w:jc w:val="center"/>
              <w:rPr>
                <w:rFonts w:ascii="黑体" w:hAnsi="黑体" w:eastAsia="黑体"/>
                <w:sz w:val="24"/>
                <w:szCs w:val="24"/>
              </w:rPr>
            </w:pPr>
            <w:r>
              <w:rPr>
                <w:rFonts w:hint="eastAsia" w:ascii="黑体" w:hAnsi="黑体" w:eastAsia="黑体"/>
                <w:sz w:val="24"/>
                <w:szCs w:val="24"/>
              </w:rPr>
              <w:t>高2.36（护栏未折叠）m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2.27*1.14m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2.27*1.14m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水平延伸</w:t>
            </w:r>
            <w:r>
              <w:rPr>
                <w:rFonts w:hint="eastAsia" w:ascii="黑体" w:hAnsi="黑体" w:eastAsia="黑体"/>
                <w:sz w:val="24"/>
                <w:szCs w:val="24"/>
              </w:rPr>
              <w:t xml:space="preserve"> （此项为选配）</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r>
      <w:tr>
        <w:tblPrEx>
          <w:tblCellMar>
            <w:top w:w="0" w:type="dxa"/>
            <w:left w:w="108" w:type="dxa"/>
            <w:bottom w:w="0" w:type="dxa"/>
            <w:right w:w="108" w:type="dxa"/>
          </w:tblCellMar>
        </w:tblPrEx>
        <w:trPr>
          <w:trHeight w:val="460" w:hRule="atLeast"/>
          <w:jc w:val="center"/>
        </w:trPr>
        <w:tc>
          <w:tcPr>
            <w:tcW w:w="2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爬坡度</w:t>
            </w:r>
          </w:p>
        </w:tc>
        <w:tc>
          <w:tcPr>
            <w:tcW w:w="30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c>
          <w:tcPr>
            <w:tcW w:w="30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最小转弯半径【内侧】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最小转弯半径【外侧】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2.23m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2.23m</w:t>
            </w:r>
          </w:p>
        </w:tc>
      </w:tr>
      <w:tr>
        <w:tblPrEx>
          <w:tblCellMar>
            <w:top w:w="0" w:type="dxa"/>
            <w:left w:w="108" w:type="dxa"/>
            <w:bottom w:w="0" w:type="dxa"/>
            <w:right w:w="108" w:type="dxa"/>
          </w:tblCellMar>
        </w:tblPrEx>
        <w:trPr>
          <w:trHeight w:val="397" w:hRule="atLeast"/>
          <w:jc w:val="center"/>
        </w:trPr>
        <w:tc>
          <w:tcPr>
            <w:tcW w:w="13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行驶速度</w:t>
            </w: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sz w:val="24"/>
                <w:szCs w:val="24"/>
              </w:rPr>
              <w:t>收起状态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r>
      <w:tr>
        <w:tblPrEx>
          <w:tblCellMar>
            <w:top w:w="0" w:type="dxa"/>
            <w:left w:w="108" w:type="dxa"/>
            <w:bottom w:w="0" w:type="dxa"/>
            <w:right w:w="108" w:type="dxa"/>
          </w:tblCellMar>
        </w:tblPrEx>
        <w:trPr>
          <w:trHeight w:val="397" w:hRule="atLeast"/>
          <w:jc w:val="center"/>
        </w:trPr>
        <w:tc>
          <w:tcPr>
            <w:tcW w:w="13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sz w:val="24"/>
                <w:szCs w:val="24"/>
              </w:rPr>
              <w:t>升起或延伸状态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r>
      <w:tr>
        <w:tblPrEx>
          <w:tblCellMar>
            <w:top w:w="0" w:type="dxa"/>
            <w:left w:w="108" w:type="dxa"/>
            <w:bottom w:w="0" w:type="dxa"/>
            <w:right w:w="108" w:type="dxa"/>
          </w:tblCellMar>
        </w:tblPrEx>
        <w:trPr>
          <w:trHeight w:val="387" w:hRule="atLeast"/>
          <w:jc w:val="center"/>
        </w:trPr>
        <w:tc>
          <w:tcPr>
            <w:tcW w:w="2860" w:type="dxa"/>
            <w:gridSpan w:val="2"/>
            <w:tcBorders>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离地间隙</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驱动轮尺寸</w:t>
            </w:r>
          </w:p>
        </w:tc>
        <w:tc>
          <w:tcPr>
            <w:tcW w:w="3011" w:type="dxa"/>
            <w:tcBorders>
              <w:top w:val="nil"/>
              <w:left w:val="nil"/>
              <w:bottom w:val="single" w:color="auto" w:sz="4" w:space="0"/>
              <w:right w:val="single" w:color="auto" w:sz="4" w:space="0"/>
            </w:tcBorders>
            <w:vAlign w:val="center"/>
          </w:tcPr>
          <w:p>
            <w:pPr>
              <w:ind w:firstLine="720" w:firstLineChars="300"/>
              <w:rPr>
                <w:rFonts w:ascii="黑体" w:hAnsi="黑体" w:eastAsia="黑体"/>
                <w:sz w:val="24"/>
                <w:szCs w:val="24"/>
              </w:rPr>
            </w:pPr>
            <w:r>
              <w:rPr>
                <w:rFonts w:hint="eastAsia" w:ascii="黑体" w:hAnsi="黑体" w:eastAsia="黑体"/>
                <w:sz w:val="24"/>
                <w:szCs w:val="24"/>
              </w:rPr>
              <w:t>φ381*127</w:t>
            </w:r>
          </w:p>
        </w:tc>
        <w:tc>
          <w:tcPr>
            <w:tcW w:w="3059" w:type="dxa"/>
            <w:tcBorders>
              <w:top w:val="nil"/>
              <w:left w:val="nil"/>
              <w:bottom w:val="single" w:color="auto" w:sz="4" w:space="0"/>
              <w:right w:val="single" w:color="auto" w:sz="4" w:space="0"/>
            </w:tcBorders>
            <w:vAlign w:val="center"/>
          </w:tcPr>
          <w:p>
            <w:pPr>
              <w:ind w:firstLine="840" w:firstLineChars="350"/>
              <w:rPr>
                <w:rFonts w:ascii="黑体" w:hAnsi="黑体" w:eastAsia="黑体"/>
                <w:sz w:val="24"/>
                <w:szCs w:val="24"/>
              </w:rPr>
            </w:pPr>
            <w:r>
              <w:rPr>
                <w:rFonts w:hint="eastAsia" w:ascii="黑体" w:hAnsi="黑体" w:eastAsia="黑体"/>
                <w:sz w:val="24"/>
                <w:szCs w:val="24"/>
              </w:rPr>
              <w:t>φ381*127</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举升电机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无</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24V/3.3kw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驱动电机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24V/3.3kw</w:t>
            </w:r>
          </w:p>
        </w:tc>
        <w:tc>
          <w:tcPr>
            <w:tcW w:w="3059" w:type="dxa"/>
            <w:tcBorders>
              <w:top w:val="nil"/>
              <w:left w:val="nil"/>
              <w:bottom w:val="single" w:color="auto" w:sz="4" w:space="0"/>
              <w:right w:val="single" w:color="auto" w:sz="4" w:space="0"/>
            </w:tcBorders>
            <w:vAlign w:val="center"/>
          </w:tcPr>
          <w:p>
            <w:pPr>
              <w:ind w:firstLine="960" w:firstLineChars="400"/>
              <w:rPr>
                <w:rFonts w:ascii="黑体" w:hAnsi="黑体" w:eastAsia="黑体"/>
                <w:sz w:val="18"/>
                <w:szCs w:val="18"/>
              </w:rPr>
            </w:pPr>
            <w:r>
              <w:rPr>
                <w:rFonts w:hint="eastAsia" w:ascii="黑体" w:hAnsi="黑体" w:eastAsia="黑体"/>
                <w:sz w:val="24"/>
                <w:szCs w:val="24"/>
              </w:rPr>
              <w:t>24V/1.5kw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免维护电池</w:t>
            </w:r>
          </w:p>
        </w:tc>
        <w:tc>
          <w:tcPr>
            <w:tcW w:w="3011"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4*6V/225Ah</w:t>
            </w:r>
          </w:p>
        </w:tc>
        <w:tc>
          <w:tcPr>
            <w:tcW w:w="3059"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4*6V/225Ah</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充电器</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重量</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2230kg</w:t>
            </w:r>
          </w:p>
        </w:tc>
        <w:tc>
          <w:tcPr>
            <w:tcW w:w="3059"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2270kg</w:t>
            </w:r>
          </w:p>
        </w:tc>
      </w:tr>
    </w:tbl>
    <w:p>
      <w:pPr>
        <w:rPr>
          <w:rFonts w:ascii="黑体" w:hAnsi="黑体" w:eastAsia="黑体"/>
          <w:b/>
          <w:sz w:val="24"/>
          <w:szCs w:val="24"/>
        </w:rPr>
      </w:pPr>
    </w:p>
    <w:p>
      <w:pPr>
        <w:rPr>
          <w:rFonts w:ascii="黑体" w:hAnsi="黑体" w:eastAsia="黑体"/>
          <w:b/>
          <w:sz w:val="28"/>
          <w:szCs w:val="28"/>
        </w:rPr>
      </w:pPr>
    </w:p>
    <w:p>
      <w:pPr>
        <w:rPr>
          <w:rFonts w:ascii="黑体" w:hAnsi="黑体" w:eastAsia="黑体"/>
          <w:b/>
          <w:sz w:val="28"/>
          <w:szCs w:val="28"/>
        </w:rPr>
      </w:pPr>
      <w:r>
        <w:rPr>
          <w:rFonts w:ascii="黑体" w:hAnsi="黑体" w:eastAsia="黑体"/>
          <w:b/>
          <w:sz w:val="28"/>
          <w:szCs w:val="28"/>
        </w:rPr>
        <w:drawing>
          <wp:inline distT="0" distB="0" distL="0" distR="0">
            <wp:extent cx="1799590" cy="1076325"/>
            <wp:effectExtent l="19050" t="0" r="0" b="0"/>
            <wp:docPr id="3" name="图片 1" descr="C:\Users\Administrator\Desktop\微信图片_2017120216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微信图片_20171202162824.jpg"/>
                    <pic:cNvPicPr preferRelativeResize="0">
                      <a:picLocks noChangeAspect="1" noChangeArrowheads="1"/>
                    </pic:cNvPicPr>
                  </pic:nvPicPr>
                  <pic:blipFill>
                    <a:blip r:embed="rId11"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4" name="图片 2" descr="C:\Users\Administrator\Desktop\微信图片_2017120216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微信图片_20171202162940.jpg"/>
                    <pic:cNvPicPr preferRelativeResize="0">
                      <a:picLocks noChangeAspect="1" noChangeArrowheads="1"/>
                    </pic:cNvPicPr>
                  </pic:nvPicPr>
                  <pic:blipFill>
                    <a:blip r:embed="rId12"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5" name="图片 3" descr="C:\Users\Administrator\Desktop\微信图片_2017120216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微信图片_20171202163007.jpg"/>
                    <pic:cNvPicPr preferRelativeResize="0">
                      <a:picLocks noChangeAspect="1" noChangeArrowheads="1"/>
                    </pic:cNvPicPr>
                  </pic:nvPicPr>
                  <pic:blipFill>
                    <a:blip r:embed="rId13" cstate="print"/>
                    <a:srcRect/>
                    <a:stretch>
                      <a:fillRect/>
                    </a:stretch>
                  </pic:blipFill>
                  <pic:spPr>
                    <a:xfrm>
                      <a:off x="0" y="0"/>
                      <a:ext cx="1800000" cy="1076325"/>
                    </a:xfrm>
                    <a:prstGeom prst="rect">
                      <a:avLst/>
                    </a:prstGeom>
                    <a:noFill/>
                    <a:ln w="9525">
                      <a:noFill/>
                      <a:miter lim="800000"/>
                      <a:headEnd/>
                      <a:tailEnd/>
                    </a:ln>
                  </pic:spPr>
                </pic:pic>
              </a:graphicData>
            </a:graphic>
          </wp:inline>
        </w:drawing>
      </w: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 xml:space="preserve">   </w:t>
      </w:r>
    </w:p>
    <w:p>
      <w:pPr>
        <w:rPr>
          <w:rFonts w:ascii="黑体" w:hAnsi="黑体" w:eastAsia="黑体"/>
          <w:b/>
          <w:sz w:val="28"/>
          <w:szCs w:val="28"/>
        </w:rPr>
      </w:pPr>
      <w:r>
        <w:rPr>
          <w:rFonts w:hint="eastAsia" w:ascii="黑体" w:hAnsi="黑体" w:eastAsia="黑体"/>
          <w:b/>
          <w:sz w:val="28"/>
          <w:szCs w:val="28"/>
        </w:rPr>
        <w:t xml:space="preserve">    蓄电池组               智能充电器              液压动力单元</w:t>
      </w: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二、主要配置表</w:t>
      </w:r>
    </w:p>
    <w:p>
      <w:pPr>
        <w:rPr>
          <w:rFonts w:ascii="黑体" w:hAnsi="黑体" w:eastAsia="黑体"/>
          <w:b/>
          <w:sz w:val="24"/>
          <w:szCs w:val="24"/>
        </w:rPr>
      </w:pPr>
    </w:p>
    <w:tbl>
      <w:tblPr>
        <w:tblStyle w:val="7"/>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97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名称</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lang w:val="en-US" w:eastAsia="zh-CN"/>
              </w:rPr>
              <w:t>S1</w:t>
            </w:r>
            <w:bookmarkStart w:id="6" w:name="_GoBack"/>
            <w:bookmarkEnd w:id="6"/>
            <w:r>
              <w:rPr>
                <w:rFonts w:hint="eastAsia" w:ascii="黑体" w:hAnsi="黑体" w:eastAsia="黑体"/>
                <w:sz w:val="24"/>
              </w:rPr>
              <w:t>008HD</w:t>
            </w:r>
          </w:p>
        </w:tc>
        <w:tc>
          <w:tcPr>
            <w:tcW w:w="3119" w:type="dxa"/>
          </w:tcPr>
          <w:p>
            <w:pPr>
              <w:spacing w:line="360" w:lineRule="auto"/>
              <w:jc w:val="center"/>
              <w:rPr>
                <w:rFonts w:ascii="黑体" w:hAnsi="黑体" w:eastAsia="黑体"/>
                <w:sz w:val="24"/>
              </w:rPr>
            </w:pPr>
            <w:r>
              <w:rPr>
                <w:rFonts w:hint="eastAsia" w:ascii="黑体" w:hAnsi="黑体" w:eastAsia="黑体"/>
                <w:sz w:val="24"/>
                <w:lang w:val="en-US" w:eastAsia="zh-CN"/>
              </w:rPr>
              <w:t>S</w:t>
            </w:r>
            <w:r>
              <w:rPr>
                <w:rFonts w:hint="eastAsia" w:ascii="黑体" w:hAnsi="黑体" w:eastAsia="黑体"/>
                <w:sz w:val="24"/>
              </w:rPr>
              <w:t>1008</w:t>
            </w:r>
            <w:r>
              <w:rPr>
                <w:rFonts w:ascii="黑体" w:hAnsi="黑体" w:eastAsia="黑体"/>
                <w:sz w:val="24"/>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液压动力单元</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布赫/常千</w:t>
            </w:r>
          </w:p>
        </w:tc>
        <w:tc>
          <w:tcPr>
            <w:tcW w:w="3119" w:type="dxa"/>
          </w:tcPr>
          <w:p>
            <w:pPr>
              <w:spacing w:line="360" w:lineRule="auto"/>
              <w:jc w:val="center"/>
              <w:rPr>
                <w:rFonts w:ascii="黑体" w:hAnsi="黑体" w:eastAsia="黑体"/>
                <w:sz w:val="24"/>
              </w:rPr>
            </w:pPr>
            <w:r>
              <w:rPr>
                <w:rFonts w:hint="eastAsia" w:ascii="黑体" w:hAnsi="黑体" w:eastAsia="黑体"/>
                <w:sz w:val="24"/>
              </w:rPr>
              <w:t>布赫/常千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蓄电池</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邱健</w:t>
            </w:r>
          </w:p>
        </w:tc>
        <w:tc>
          <w:tcPr>
            <w:tcW w:w="3119" w:type="dxa"/>
          </w:tcPr>
          <w:p>
            <w:pPr>
              <w:spacing w:line="360" w:lineRule="auto"/>
              <w:jc w:val="center"/>
              <w:rPr>
                <w:rFonts w:ascii="黑体" w:hAnsi="黑体" w:eastAsia="黑体"/>
                <w:sz w:val="24"/>
              </w:rPr>
            </w:pPr>
            <w:r>
              <w:rPr>
                <w:rFonts w:hint="eastAsia" w:ascii="黑体" w:hAnsi="黑体" w:eastAsia="黑体"/>
                <w:sz w:val="24"/>
              </w:rPr>
              <w:t>邱健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充电机</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前海荣升</w:t>
            </w:r>
          </w:p>
        </w:tc>
        <w:tc>
          <w:tcPr>
            <w:tcW w:w="3119" w:type="dxa"/>
          </w:tcPr>
          <w:p>
            <w:pPr>
              <w:spacing w:line="360" w:lineRule="auto"/>
              <w:jc w:val="center"/>
              <w:rPr>
                <w:rFonts w:ascii="黑体" w:hAnsi="黑体" w:eastAsia="黑体"/>
                <w:sz w:val="24"/>
              </w:rPr>
            </w:pPr>
            <w:r>
              <w:rPr>
                <w:rFonts w:hint="eastAsia" w:ascii="黑体" w:hAnsi="黑体" w:eastAsia="黑体"/>
                <w:sz w:val="24"/>
              </w:rPr>
              <w:t>前海荣升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驱动器</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c>
          <w:tcPr>
            <w:tcW w:w="3119" w:type="dxa"/>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控制系统</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DTC/中电</w:t>
            </w:r>
          </w:p>
        </w:tc>
        <w:tc>
          <w:tcPr>
            <w:tcW w:w="3119" w:type="dxa"/>
          </w:tcPr>
          <w:p>
            <w:pPr>
              <w:spacing w:line="360" w:lineRule="auto"/>
              <w:jc w:val="center"/>
              <w:rPr>
                <w:rFonts w:ascii="黑体" w:hAnsi="黑体" w:eastAsia="黑体"/>
                <w:sz w:val="24"/>
              </w:rPr>
            </w:pPr>
            <w:r>
              <w:rPr>
                <w:rFonts w:hint="eastAsia" w:ascii="黑体" w:hAnsi="黑体" w:eastAsia="黑体"/>
                <w:sz w:val="24"/>
              </w:rPr>
              <w:t>DTC/中电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驱动电机</w:t>
            </w:r>
          </w:p>
        </w:tc>
        <w:tc>
          <w:tcPr>
            <w:tcW w:w="2976" w:type="dxa"/>
            <w:vAlign w:val="center"/>
          </w:tcPr>
          <w:p>
            <w:pPr>
              <w:spacing w:line="360" w:lineRule="auto"/>
              <w:rPr>
                <w:rFonts w:ascii="黑体" w:hAnsi="黑体" w:eastAsia="黑体"/>
                <w:sz w:val="24"/>
              </w:rPr>
            </w:pPr>
            <w:r>
              <w:rPr>
                <w:rFonts w:hint="eastAsia" w:ascii="黑体" w:hAnsi="黑体" w:eastAsia="黑体"/>
                <w:sz w:val="24"/>
              </w:rPr>
              <w:t xml:space="preserve">          无</w:t>
            </w:r>
          </w:p>
        </w:tc>
        <w:tc>
          <w:tcPr>
            <w:tcW w:w="3119" w:type="dxa"/>
          </w:tcPr>
          <w:p>
            <w:pPr>
              <w:spacing w:line="360" w:lineRule="auto"/>
              <w:ind w:firstLine="600" w:firstLineChars="250"/>
              <w:rPr>
                <w:rFonts w:ascii="黑体" w:hAnsi="黑体" w:eastAsia="黑体"/>
                <w:sz w:val="24"/>
              </w:rPr>
            </w:pPr>
            <w:r>
              <w:rPr>
                <w:rFonts w:hint="eastAsia" w:ascii="黑体" w:hAnsi="黑体" w:eastAsia="黑体"/>
                <w:sz w:val="24"/>
              </w:rPr>
              <w:t>美国</w:t>
            </w:r>
            <w:r>
              <w:rPr>
                <w:rFonts w:ascii="黑体" w:hAnsi="黑体" w:eastAsia="黑体"/>
                <w:sz w:val="24"/>
              </w:rPr>
              <w:t>omnigear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驱动马达</w:t>
            </w:r>
          </w:p>
        </w:tc>
        <w:tc>
          <w:tcPr>
            <w:tcW w:w="2976" w:type="dxa"/>
            <w:vAlign w:val="center"/>
          </w:tcPr>
          <w:p>
            <w:pPr>
              <w:spacing w:line="360" w:lineRule="auto"/>
              <w:ind w:firstLine="840" w:firstLineChars="350"/>
              <w:rPr>
                <w:rFonts w:ascii="黑体" w:hAnsi="黑体" w:eastAsia="黑体"/>
                <w:sz w:val="24"/>
              </w:rPr>
            </w:pPr>
            <w:r>
              <w:rPr>
                <w:rFonts w:hint="eastAsia" w:ascii="黑体" w:hAnsi="黑体" w:eastAsia="黑体"/>
                <w:sz w:val="24"/>
              </w:rPr>
              <w:t>美国怀特</w:t>
            </w:r>
          </w:p>
        </w:tc>
        <w:tc>
          <w:tcPr>
            <w:tcW w:w="3119" w:type="dxa"/>
          </w:tcPr>
          <w:p>
            <w:pPr>
              <w:spacing w:line="360" w:lineRule="auto"/>
              <w:ind w:firstLine="600" w:firstLineChars="250"/>
              <w:rPr>
                <w:rFonts w:ascii="黑体" w:hAnsi="黑体" w:eastAsia="黑体"/>
                <w:sz w:val="24"/>
              </w:rPr>
            </w:pPr>
            <w:r>
              <w:rPr>
                <w:rFonts w:hint="eastAsia" w:ascii="黑体" w:hAnsi="黑体" w:eastAsia="黑体"/>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液压油缸</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江苏恒力</w:t>
            </w:r>
          </w:p>
        </w:tc>
        <w:tc>
          <w:tcPr>
            <w:tcW w:w="3119" w:type="dxa"/>
          </w:tcPr>
          <w:p>
            <w:pPr>
              <w:spacing w:line="360" w:lineRule="auto"/>
              <w:jc w:val="center"/>
              <w:rPr>
                <w:rFonts w:ascii="黑体" w:hAnsi="黑体" w:eastAsia="黑体"/>
                <w:sz w:val="24"/>
              </w:rPr>
            </w:pPr>
            <w:r>
              <w:rPr>
                <w:rFonts w:hint="eastAsia" w:ascii="黑体" w:hAnsi="黑体" w:eastAsia="黑体"/>
                <w:sz w:val="24"/>
              </w:rPr>
              <w:t>江苏恒力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835" w:type="dxa"/>
            <w:vAlign w:val="center"/>
          </w:tcPr>
          <w:p>
            <w:pPr>
              <w:spacing w:line="360" w:lineRule="auto"/>
              <w:jc w:val="center"/>
              <w:rPr>
                <w:rFonts w:ascii="黑体" w:hAnsi="黑体" w:eastAsia="黑体"/>
                <w:sz w:val="24"/>
              </w:rPr>
            </w:pPr>
            <w:r>
              <w:rPr>
                <w:rFonts w:hint="eastAsia" w:ascii="黑体" w:hAnsi="黑体" w:eastAsia="黑体"/>
                <w:sz w:val="24"/>
              </w:rPr>
              <w:t>橡胶油管</w:t>
            </w:r>
          </w:p>
        </w:tc>
        <w:tc>
          <w:tcPr>
            <w:tcW w:w="2976" w:type="dxa"/>
            <w:vAlign w:val="center"/>
          </w:tcPr>
          <w:p>
            <w:pPr>
              <w:spacing w:line="360" w:lineRule="auto"/>
              <w:jc w:val="center"/>
              <w:rPr>
                <w:rFonts w:ascii="黑体" w:hAnsi="黑体" w:eastAsia="黑体"/>
                <w:sz w:val="24"/>
              </w:rPr>
            </w:pPr>
            <w:r>
              <w:rPr>
                <w:rFonts w:hint="eastAsia" w:ascii="黑体" w:hAnsi="黑体" w:eastAsia="黑体"/>
                <w:sz w:val="24"/>
              </w:rPr>
              <w:t>伊顿</w:t>
            </w:r>
          </w:p>
        </w:tc>
        <w:tc>
          <w:tcPr>
            <w:tcW w:w="3119" w:type="dxa"/>
          </w:tcPr>
          <w:p>
            <w:pPr>
              <w:spacing w:line="360" w:lineRule="auto"/>
              <w:jc w:val="center"/>
              <w:rPr>
                <w:rFonts w:ascii="黑体" w:hAnsi="黑体" w:eastAsia="黑体"/>
                <w:sz w:val="24"/>
              </w:rPr>
            </w:pPr>
            <w:r>
              <w:rPr>
                <w:rFonts w:hint="eastAsia" w:ascii="黑体" w:hAnsi="黑体" w:eastAsia="黑体"/>
                <w:sz w:val="24"/>
              </w:rPr>
              <w:t>伊顿</w:t>
            </w:r>
          </w:p>
        </w:tc>
      </w:tr>
    </w:tbl>
    <w:p>
      <w:pPr>
        <w:rPr>
          <w:rFonts w:ascii="黑体" w:hAnsi="黑体" w:eastAsia="黑体"/>
          <w:b/>
          <w:sz w:val="24"/>
          <w:szCs w:val="24"/>
        </w:rPr>
      </w:pPr>
      <w:r>
        <w:rPr>
          <w:rFonts w:hint="eastAsia" w:ascii="黑体" w:hAnsi="黑体" w:eastAsia="黑体"/>
          <w:b/>
          <w:sz w:val="24"/>
          <w:szCs w:val="24"/>
        </w:rPr>
        <w:t>部分零部件图：</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68070"/>
            <wp:effectExtent l="19050" t="0" r="0" b="0"/>
            <wp:docPr id="9" name="图片 7" descr="E:\工作文档\高空事业部\素材图\剪叉抠图\IMG_974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E:\工作文档\高空事业部\素材图\剪叉抠图\IMG_9749_副本.jpg"/>
                    <pic:cNvPicPr preferRelativeResize="0">
                      <a:picLocks noChangeAspect="1" noChangeArrowheads="1"/>
                    </pic:cNvPicPr>
                  </pic:nvPicPr>
                  <pic:blipFill>
                    <a:blip r:embed="rId14" cstate="print"/>
                    <a:srcRect/>
                    <a:stretch>
                      <a:fillRect/>
                    </a:stretch>
                  </pic:blipFill>
                  <pic:spPr>
                    <a:xfrm>
                      <a:off x="0" y="0"/>
                      <a:ext cx="1836000" cy="1068201"/>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8325" cy="1079500"/>
            <wp:effectExtent l="19050" t="0" r="9525" b="0"/>
            <wp:docPr id="13" name="图片 9" descr="E:\工作文档\高空事业部\素材图\剪叉抠图\IMG_974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E:\工作文档\高空事业部\素材图\剪叉抠图\IMG_9743_副本.jpg"/>
                    <pic:cNvPicPr preferRelativeResize="0">
                      <a:picLocks noChangeAspect="1" noChangeArrowheads="1"/>
                    </pic:cNvPicPr>
                  </pic:nvPicPr>
                  <pic:blipFill>
                    <a:blip r:embed="rId15" cstate="print"/>
                    <a:srcRect/>
                    <a:stretch>
                      <a:fillRect/>
                    </a:stretch>
                  </pic:blipFill>
                  <pic:spPr>
                    <a:xfrm>
                      <a:off x="0" y="0"/>
                      <a:ext cx="1838325"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1" name="图片 10" descr="E:\工作文档\高空事业部\素材图\剪叉抠图\IMG_971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descr="E:\工作文档\高空事业部\素材图\剪叉抠图\IMG_9715_副本.jpg"/>
                    <pic:cNvPicPr preferRelativeResize="0">
                      <a:picLocks noChangeAspect="1" noChangeArrowheads="1"/>
                    </pic:cNvPicPr>
                  </pic:nvPicPr>
                  <pic:blipFill>
                    <a:blip r:embed="rId16"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弹簧线缆                 角度传感器                     限位开关</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30" name="图片 5" descr="E:\工作文档\高空事业部\素材图\剪叉抠图\IMG_974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E:\工作文档\高空事业部\素材图\剪叉抠图\IMG_9748_副本.jpg"/>
                    <pic:cNvPicPr preferRelativeResize="0">
                      <a:picLocks noChangeAspect="1" noChangeArrowheads="1"/>
                    </pic:cNvPicPr>
                  </pic:nvPicPr>
                  <pic:blipFill>
                    <a:blip r:embed="rId17"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18" name="图片 11" descr="E:\工作文档\高空事业部\素材图\剪叉抠图\下车通讯线插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E:\工作文档\高空事业部\素材图\剪叉抠图\下车通讯线插头.jpg"/>
                    <pic:cNvPicPr preferRelativeResize="0">
                      <a:picLocks noChangeAspect="1" noChangeArrowheads="1"/>
                    </pic:cNvPicPr>
                  </pic:nvPicPr>
                  <pic:blipFill>
                    <a:blip r:embed="rId18"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20" name="图片 12" descr="E:\工作文档\高空事业部\素材图\剪叉抠图\0s01061106080IMAG231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E:\工作文档\高空事业部\素材图\剪叉抠图\0s01061106080IMAG2314_副本.jpg"/>
                    <pic:cNvPicPr preferRelativeResize="0">
                      <a:picLocks noChangeAspect="1" noChangeArrowheads="1"/>
                    </pic:cNvPicPr>
                  </pic:nvPicPr>
                  <pic:blipFill>
                    <a:blip r:embed="rId19" cstate="print"/>
                    <a:srcRect/>
                    <a:stretch>
                      <a:fillRect/>
                    </a:stretch>
                  </pic:blipFill>
                  <pic:spPr>
                    <a:xfrm>
                      <a:off x="0" y="0"/>
                      <a:ext cx="1836000" cy="1076325"/>
                    </a:xfrm>
                    <a:prstGeom prst="rect">
                      <a:avLst/>
                    </a:prstGeom>
                    <a:noFill/>
                    <a:ln w="9525">
                      <a:noFill/>
                      <a:miter lim="800000"/>
                      <a:headEnd/>
                      <a:tailEnd/>
                    </a:ln>
                  </pic:spPr>
                </pic:pic>
              </a:graphicData>
            </a:graphic>
          </wp:inline>
        </w:drawing>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控制器                       快速插接头                   警示灯</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26" name="图片 1" descr="E:\工作文档\高空事业部\素材图\剪叉抠图\DSC_865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E:\工作文档\高空事业部\素材图\剪叉抠图\DSC_8657_副本.jpg"/>
                    <pic:cNvPicPr preferRelativeResize="0">
                      <a:picLocks noChangeAspect="1" noChangeArrowheads="1"/>
                    </pic:cNvPicPr>
                  </pic:nvPicPr>
                  <pic:blipFill>
                    <a:blip r:embed="rId20"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3" name="图片 3" descr="E:\工作文档\高空事业部\素材图\剪叉抠图\IMG_97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E:\工作文档\高空事业部\素材图\剪叉抠图\IMG_9726_副本.jpg"/>
                    <pic:cNvPicPr preferRelativeResize="0">
                      <a:picLocks noChangeAspect="1" noChangeArrowheads="1"/>
                    </pic:cNvPicPr>
                  </pic:nvPicPr>
                  <pic:blipFill>
                    <a:blip r:embed="rId21"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924050" cy="1079500"/>
            <wp:effectExtent l="19050" t="0" r="0" b="0"/>
            <wp:docPr id="32" name="图片 2" descr="E:\工作文档\高空事业部\素材图\剪叉抠图\IMG_9733(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E:\工作文档\高空事业部\素材图\剪叉抠图\IMG_9733(1)_副本.jpg"/>
                    <pic:cNvPicPr preferRelativeResize="0">
                      <a:picLocks noChangeAspect="1" noChangeArrowheads="1"/>
                    </pic:cNvPicPr>
                  </pic:nvPicPr>
                  <pic:blipFill>
                    <a:blip r:embed="rId22" cstate="print"/>
                    <a:srcRect/>
                    <a:stretch>
                      <a:fillRect/>
                    </a:stretch>
                  </pic:blipFill>
                  <pic:spPr>
                    <a:xfrm>
                      <a:off x="0" y="0"/>
                      <a:ext cx="1924050"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ind w:firstLine="602" w:firstLineChars="250"/>
        <w:rPr>
          <w:rFonts w:ascii="黑体" w:hAnsi="黑体" w:eastAsia="黑体"/>
          <w:b/>
          <w:sz w:val="24"/>
          <w:szCs w:val="24"/>
        </w:rPr>
      </w:pPr>
    </w:p>
    <w:p>
      <w:pPr>
        <w:rPr>
          <w:rFonts w:ascii="黑体" w:hAnsi="黑体" w:eastAsia="黑体"/>
          <w:b/>
          <w:sz w:val="24"/>
          <w:szCs w:val="24"/>
        </w:rPr>
        <w:sectPr>
          <w:headerReference r:id="rId3" w:type="default"/>
          <w:footerReference r:id="rId4" w:type="default"/>
          <w:pgSz w:w="11906" w:h="16840"/>
          <w:pgMar w:top="860" w:right="1127" w:bottom="740" w:left="1114" w:header="0" w:footer="0" w:gutter="0"/>
          <w:cols w:space="720" w:num="1"/>
          <w:docGrid w:linePitch="360" w:charSpace="0"/>
        </w:sectPr>
      </w:pPr>
      <w:r>
        <w:rPr>
          <w:rFonts w:hint="eastAsia" w:ascii="黑体" w:hAnsi="黑体" w:eastAsia="黑体"/>
          <w:b/>
          <w:sz w:val="24"/>
          <w:szCs w:val="24"/>
        </w:rPr>
        <w:t xml:space="preserve"> 整车栏杆                  控制手柄                       电量显示  </w:t>
      </w:r>
    </w:p>
    <w:tbl>
      <w:tblPr>
        <w:tblStyle w:val="7"/>
        <w:tblpPr w:leftFromText="180" w:rightFromText="180" w:vertAnchor="page" w:horzAnchor="margin" w:tblpY="2971"/>
        <w:tblW w:w="14824" w:type="dxa"/>
        <w:tblInd w:w="0" w:type="dxa"/>
        <w:tblLayout w:type="fixed"/>
        <w:tblCellMar>
          <w:top w:w="0" w:type="dxa"/>
          <w:left w:w="0" w:type="dxa"/>
          <w:bottom w:w="0" w:type="dxa"/>
          <w:right w:w="0" w:type="dxa"/>
        </w:tblCellMar>
      </w:tblPr>
      <w:tblGrid>
        <w:gridCol w:w="2136"/>
        <w:gridCol w:w="2411"/>
        <w:gridCol w:w="5139"/>
        <w:gridCol w:w="5138"/>
      </w:tblGrid>
      <w:tr>
        <w:tblPrEx>
          <w:tblCellMar>
            <w:top w:w="0" w:type="dxa"/>
            <w:left w:w="0" w:type="dxa"/>
            <w:bottom w:w="0" w:type="dxa"/>
            <w:right w:w="0" w:type="dxa"/>
          </w:tblCellMar>
        </w:tblPrEx>
        <w:trPr>
          <w:gridAfter w:val="1"/>
          <w:wAfter w:w="5138" w:type="dxa"/>
          <w:trHeight w:val="688" w:hRule="atLeast"/>
        </w:trPr>
        <w:tc>
          <w:tcPr>
            <w:tcW w:w="2136" w:type="dxa"/>
            <w:tcBorders>
              <w:top w:val="single" w:color="auto" w:sz="8" w:space="0"/>
              <w:left w:val="single" w:color="auto" w:sz="8" w:space="0"/>
              <w:bottom w:val="single" w:color="auto" w:sz="4" w:space="0"/>
              <w:right w:val="single" w:color="auto" w:sz="8" w:space="0"/>
            </w:tcBorders>
            <w:vAlign w:val="center"/>
          </w:tcPr>
          <w:p>
            <w:pPr>
              <w:spacing w:line="239" w:lineRule="exact"/>
              <w:ind w:left="120"/>
              <w:jc w:val="center"/>
              <w:rPr>
                <w:rFonts w:ascii="黑体" w:hAnsi="黑体" w:eastAsia="黑体"/>
                <w:b/>
                <w:sz w:val="24"/>
                <w:szCs w:val="24"/>
              </w:rPr>
            </w:pPr>
            <w:r>
              <w:rPr>
                <w:rFonts w:ascii="黑体" w:hAnsi="黑体" w:eastAsia="黑体"/>
                <w:b/>
                <w:sz w:val="24"/>
                <w:szCs w:val="24"/>
              </w:rPr>
              <w:t>机构总称</w:t>
            </w:r>
          </w:p>
        </w:tc>
        <w:tc>
          <w:tcPr>
            <w:tcW w:w="2411" w:type="dxa"/>
            <w:tcBorders>
              <w:top w:val="single" w:color="auto" w:sz="8" w:space="0"/>
              <w:bottom w:val="single" w:color="auto" w:sz="4" w:space="0"/>
              <w:right w:val="single" w:color="auto" w:sz="8" w:space="0"/>
            </w:tcBorders>
            <w:vAlign w:val="center"/>
          </w:tcPr>
          <w:p>
            <w:pPr>
              <w:spacing w:line="239" w:lineRule="exact"/>
              <w:ind w:left="80"/>
              <w:jc w:val="center"/>
              <w:rPr>
                <w:rFonts w:ascii="黑体" w:hAnsi="黑体" w:eastAsia="黑体"/>
                <w:b/>
                <w:sz w:val="24"/>
                <w:szCs w:val="24"/>
              </w:rPr>
            </w:pPr>
            <w:r>
              <w:rPr>
                <w:rFonts w:ascii="黑体" w:hAnsi="黑体" w:eastAsia="黑体"/>
                <w:b/>
                <w:sz w:val="24"/>
                <w:szCs w:val="24"/>
              </w:rPr>
              <w:t>零部件名称</w:t>
            </w:r>
          </w:p>
        </w:tc>
        <w:tc>
          <w:tcPr>
            <w:tcW w:w="5139" w:type="dxa"/>
            <w:tcBorders>
              <w:top w:val="single" w:color="auto" w:sz="8" w:space="0"/>
              <w:right w:val="single" w:color="auto" w:sz="8" w:space="0"/>
            </w:tcBorders>
            <w:vAlign w:val="center"/>
          </w:tcPr>
          <w:p>
            <w:pPr>
              <w:spacing w:line="239" w:lineRule="exact"/>
              <w:ind w:left="100"/>
              <w:jc w:val="center"/>
              <w:rPr>
                <w:rFonts w:ascii="黑体" w:hAnsi="黑体" w:eastAsia="黑体"/>
                <w:b/>
                <w:sz w:val="24"/>
                <w:szCs w:val="24"/>
              </w:rPr>
            </w:pPr>
            <w:r>
              <w:rPr>
                <w:rFonts w:ascii="黑体" w:hAnsi="黑体" w:eastAsia="黑体"/>
                <w:b/>
                <w:sz w:val="24"/>
                <w:szCs w:val="24"/>
              </w:rPr>
              <w:t>详解</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spacing w:line="480" w:lineRule="auto"/>
              <w:jc w:val="center"/>
              <w:rPr>
                <w:rFonts w:ascii="黑体" w:hAnsi="黑体" w:eastAsia="黑体"/>
                <w:sz w:val="24"/>
                <w:szCs w:val="24"/>
              </w:rPr>
            </w:pPr>
            <w:r>
              <w:rPr>
                <w:rFonts w:hint="eastAsia" w:ascii="黑体" w:hAnsi="黑体" w:eastAsia="黑体"/>
                <w:sz w:val="24"/>
                <w:szCs w:val="24"/>
              </w:rPr>
              <w:t>液压控制机构</w:t>
            </w: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液压动力单元</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整体式动力单元</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油缸（进口油封）</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起升构件</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bottom w:val="single" w:color="auto" w:sz="4"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手动下降阀</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手动紧急下降。</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sz w:val="24"/>
                <w:szCs w:val="24"/>
              </w:rPr>
            </w:pPr>
            <w:r>
              <w:rPr>
                <w:rFonts w:ascii="黑体" w:hAnsi="黑体" w:eastAsia="黑体"/>
                <w:w w:val="99"/>
                <w:sz w:val="24"/>
                <w:szCs w:val="24"/>
              </w:rPr>
              <w:t>电动控制机构</w:t>
            </w:r>
          </w:p>
          <w:p>
            <w:pPr>
              <w:spacing w:line="0" w:lineRule="atLeast"/>
              <w:ind w:lef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转向电机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驱动行走，转向</w:t>
            </w:r>
          </w:p>
        </w:tc>
      </w:tr>
      <w:tr>
        <w:tblPrEx>
          <w:tblCellMar>
            <w:top w:w="0" w:type="dxa"/>
            <w:left w:w="0" w:type="dxa"/>
            <w:bottom w:w="0" w:type="dxa"/>
            <w:right w:w="0" w:type="dxa"/>
          </w:tblCellMar>
        </w:tblPrEx>
        <w:trPr>
          <w:trHeight w:val="454" w:hRule="atLeast"/>
        </w:trPr>
        <w:tc>
          <w:tcPr>
            <w:tcW w:w="2136" w:type="dxa"/>
            <w:vMerge w:val="continue"/>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控制手柄</w:t>
            </w:r>
          </w:p>
        </w:tc>
        <w:tc>
          <w:tcPr>
            <w:tcW w:w="5139" w:type="dxa"/>
            <w:tcBorders>
              <w:top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sz w:val="24"/>
                <w:szCs w:val="24"/>
              </w:rPr>
              <w:t>平台上控制</w:t>
            </w:r>
            <w:r>
              <w:rPr>
                <w:rFonts w:hint="eastAsia" w:ascii="黑体" w:hAnsi="黑体" w:eastAsia="黑体"/>
                <w:sz w:val="24"/>
                <w:szCs w:val="24"/>
              </w:rPr>
              <w:t>升降</w:t>
            </w:r>
            <w:r>
              <w:rPr>
                <w:rFonts w:ascii="黑体" w:hAnsi="黑体" w:eastAsia="黑体"/>
                <w:sz w:val="24"/>
                <w:szCs w:val="24"/>
              </w:rPr>
              <w:t>、</w:t>
            </w:r>
            <w:r>
              <w:rPr>
                <w:rFonts w:hint="eastAsia" w:ascii="黑体" w:hAnsi="黑体" w:eastAsia="黑体"/>
                <w:sz w:val="24"/>
                <w:szCs w:val="24"/>
              </w:rPr>
              <w:t>行走</w:t>
            </w:r>
            <w:r>
              <w:rPr>
                <w:rFonts w:ascii="黑体" w:hAnsi="黑体" w:eastAsia="黑体"/>
                <w:sz w:val="24"/>
                <w:szCs w:val="24"/>
              </w:rPr>
              <w:t>、转向、快慢速转换等</w:t>
            </w:r>
          </w:p>
        </w:tc>
        <w:tc>
          <w:tcPr>
            <w:tcW w:w="5138" w:type="dxa"/>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平台上控制升降，带急停功能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地面控制系统</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平台下控制</w:t>
            </w:r>
            <w:r>
              <w:rPr>
                <w:rFonts w:hint="eastAsia" w:ascii="黑体" w:hAnsi="黑体" w:eastAsia="黑体"/>
                <w:sz w:val="24"/>
                <w:szCs w:val="24"/>
              </w:rPr>
              <w:t>升降，转</w:t>
            </w:r>
            <w:r>
              <w:rPr>
                <w:rFonts w:ascii="黑体" w:hAnsi="黑体" w:eastAsia="黑体"/>
                <w:sz w:val="24"/>
                <w:szCs w:val="24"/>
              </w:rPr>
              <w:t>换开关</w:t>
            </w:r>
            <w:r>
              <w:rPr>
                <w:rFonts w:hint="eastAsia" w:ascii="黑体" w:hAnsi="黑体" w:eastAsia="黑体"/>
                <w:sz w:val="24"/>
                <w:szCs w:val="24"/>
              </w:rPr>
              <w:t>上下控，急停功能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直流控制器</w:t>
            </w:r>
          </w:p>
        </w:tc>
        <w:tc>
          <w:tcPr>
            <w:tcW w:w="5139" w:type="dxa"/>
            <w:tcBorders>
              <w:top w:val="single" w:color="auto" w:sz="4" w:space="0"/>
              <w:bottom w:val="single" w:color="auto" w:sz="4" w:space="0"/>
              <w:right w:val="single" w:color="auto" w:sz="8" w:space="0"/>
            </w:tcBorders>
            <w:vAlign w:val="center"/>
          </w:tcPr>
          <w:p>
            <w:pPr>
              <w:spacing w:line="0" w:lineRule="atLeast"/>
              <w:ind w:left="100"/>
              <w:rPr>
                <w:rFonts w:ascii="黑体" w:hAnsi="黑体" w:eastAsia="黑体"/>
                <w:sz w:val="24"/>
                <w:szCs w:val="24"/>
              </w:rPr>
            </w:pPr>
            <w:r>
              <w:rPr>
                <w:rFonts w:hint="eastAsia" w:ascii="黑体" w:hAnsi="黑体" w:eastAsia="黑体"/>
                <w:sz w:val="24"/>
                <w:szCs w:val="24"/>
              </w:rPr>
              <w:t xml:space="preserve">            控制直流电机工作</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电磁阀（线圈）</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控制油路</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上升限位开关</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限定起升的最高高度。</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蓄电池</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hint="eastAsia" w:ascii="黑体" w:hAnsi="黑体" w:eastAsia="黑体"/>
                <w:sz w:val="24"/>
                <w:szCs w:val="24"/>
              </w:rPr>
              <w:t>高性能深循环蓄电池</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充电器</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智能充电保护</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电源切断开关</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电源的开启与闭合。</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驱动液压泵头进行工作</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nil"/>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护栏</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可折叠，缩小高度。</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行走轮</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 xml:space="preserve">无痕轮胎 </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left w:val="single" w:color="auto" w:sz="8" w:space="0"/>
              <w:right w:val="single" w:color="auto" w:sz="4"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机械机构</w:t>
            </w:r>
          </w:p>
          <w:p>
            <w:pPr>
              <w:spacing w:line="0" w:lineRule="atLeast"/>
              <w:jc w:val="center"/>
              <w:rPr>
                <w:rFonts w:ascii="黑体" w:hAnsi="黑体" w:eastAsia="黑体"/>
                <w:sz w:val="24"/>
                <w:szCs w:val="24"/>
              </w:rPr>
            </w:pPr>
          </w:p>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8"/>
                <w:sz w:val="24"/>
                <w:szCs w:val="24"/>
              </w:rPr>
            </w:pPr>
            <w:r>
              <w:rPr>
                <w:rFonts w:ascii="黑体" w:hAnsi="黑体" w:eastAsia="黑体"/>
                <w:w w:val="98"/>
                <w:sz w:val="24"/>
                <w:szCs w:val="24"/>
              </w:rPr>
              <w:t>安全</w:t>
            </w:r>
            <w:r>
              <w:rPr>
                <w:rFonts w:hint="eastAsia" w:ascii="黑体" w:hAnsi="黑体" w:eastAsia="黑体"/>
                <w:w w:val="98"/>
                <w:sz w:val="24"/>
                <w:szCs w:val="24"/>
              </w:rPr>
              <w:t>检修支架</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装配于机身上，安全支撑。方便检修。</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运输叉车孔</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便于装卸，</w:t>
            </w:r>
            <w:r>
              <w:rPr>
                <w:rFonts w:ascii="黑体" w:hAnsi="黑体" w:eastAsia="黑体"/>
                <w:sz w:val="24"/>
                <w:szCs w:val="24"/>
              </w:rPr>
              <w:t>为</w:t>
            </w:r>
            <w:r>
              <w:rPr>
                <w:rFonts w:hint="eastAsia" w:ascii="黑体" w:hAnsi="黑体" w:eastAsia="黑体"/>
                <w:sz w:val="24"/>
                <w:szCs w:val="24"/>
              </w:rPr>
              <w:t>长途</w:t>
            </w:r>
            <w:r>
              <w:rPr>
                <w:rFonts w:ascii="黑体" w:hAnsi="黑体" w:eastAsia="黑体"/>
                <w:sz w:val="24"/>
                <w:szCs w:val="24"/>
              </w:rPr>
              <w:t>运输设计。</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rPr>
                <w:rFonts w:ascii="黑体" w:hAnsi="黑体" w:eastAsia="黑体"/>
                <w:w w:val="99"/>
                <w:sz w:val="24"/>
                <w:szCs w:val="24"/>
              </w:rPr>
            </w:pPr>
            <w:r>
              <w:rPr>
                <w:rFonts w:hint="eastAsia" w:ascii="黑体" w:hAnsi="黑体" w:eastAsia="黑体"/>
                <w:w w:val="99"/>
                <w:sz w:val="24"/>
                <w:szCs w:val="24"/>
              </w:rPr>
              <w:t>延伸</w:t>
            </w:r>
            <w:r>
              <w:rPr>
                <w:rFonts w:ascii="黑体" w:hAnsi="黑体" w:eastAsia="黑体"/>
                <w:w w:val="99"/>
                <w:sz w:val="24"/>
                <w:szCs w:val="24"/>
              </w:rPr>
              <w:t>平台</w:t>
            </w:r>
            <w:r>
              <w:rPr>
                <w:rFonts w:hint="eastAsia" w:ascii="黑体" w:hAnsi="黑体" w:eastAsia="黑体"/>
                <w:w w:val="99"/>
                <w:sz w:val="24"/>
                <w:szCs w:val="24"/>
              </w:rPr>
              <w:t>（此项为选配）</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平台水平延伸，扩大工作范围与解决 L 型场地难题</w:t>
            </w:r>
          </w:p>
        </w:tc>
      </w:tr>
    </w:tbl>
    <w:p>
      <w:pPr>
        <w:rPr>
          <w:rFonts w:ascii="黑体" w:hAnsi="黑体" w:eastAsia="黑体"/>
          <w:sz w:val="11"/>
        </w:rPr>
      </w:pPr>
    </w:p>
    <w:p>
      <w:pPr>
        <w:rPr>
          <w:rFonts w:ascii="黑体" w:hAnsi="黑体" w:eastAsia="黑体"/>
          <w:sz w:val="11"/>
        </w:rPr>
      </w:pPr>
    </w:p>
    <w:p>
      <w:pPr>
        <w:rPr>
          <w:rFonts w:ascii="黑体" w:hAnsi="黑体" w:eastAsia="黑体"/>
          <w:sz w:val="11"/>
        </w:rPr>
        <w:sectPr>
          <w:headerReference r:id="rId5" w:type="default"/>
          <w:pgSz w:w="11906" w:h="16840"/>
          <w:pgMar w:top="860" w:right="1127" w:bottom="740" w:left="1114" w:header="0" w:footer="0" w:gutter="0"/>
          <w:cols w:space="720" w:num="1"/>
          <w:docGrid w:linePitch="360" w:charSpace="0"/>
        </w:sectPr>
      </w:pPr>
      <w:r>
        <w:rPr>
          <w:rFonts w:hint="eastAsia" w:ascii="黑体" w:hAnsi="黑体" w:eastAsia="黑体"/>
          <w:b/>
          <w:sz w:val="28"/>
          <w:szCs w:val="28"/>
        </w:rPr>
        <w:t>三、整机结构说明</w:t>
      </w:r>
    </w:p>
    <w:p>
      <w:pPr>
        <w:rPr>
          <w:rFonts w:ascii="黑体" w:hAnsi="黑体" w:eastAsia="黑体"/>
          <w:b/>
          <w:sz w:val="28"/>
          <w:szCs w:val="28"/>
        </w:rPr>
      </w:pPr>
      <w:bookmarkStart w:id="0" w:name="page3"/>
      <w:bookmarkEnd w:id="0"/>
      <w:r>
        <w:rPr>
          <w:rFonts w:hint="eastAsia" w:ascii="黑体" w:hAnsi="黑体" w:eastAsia="黑体"/>
          <w:b/>
          <w:sz w:val="28"/>
          <w:szCs w:val="28"/>
        </w:rPr>
        <w:t>四、简介及技术特点</w:t>
      </w:r>
    </w:p>
    <w:p>
      <w:pPr>
        <w:spacing w:line="360" w:lineRule="auto"/>
        <w:ind w:firstLine="480" w:firstLineChars="200"/>
        <w:rPr>
          <w:rFonts w:ascii="黑体" w:hAnsi="黑体" w:eastAsia="黑体"/>
          <w:sz w:val="24"/>
        </w:rPr>
      </w:pPr>
      <w:r>
        <w:rPr>
          <w:rFonts w:hint="eastAsia" w:ascii="黑体" w:hAnsi="黑体" w:eastAsia="黑体"/>
          <w:sz w:val="24"/>
        </w:rPr>
        <w:t>GTJZ江河系列全自走剪叉式高空作业平台使许多困难危险的工作变得更加容易化，例如：室内外清洁(天花板，幕墙，玻璃窗，屋檐，雨蓬，烟囱等)，广告牌的装置和维护，路灯和交通标志的装置和维护等。这种高空升降平台的特点是小巧灵活，方便快捷。可以用一部升降平台代替脚手架来达到您需要的高度，解决您的难题。同时，还可以节省您的费用和宝贵的时间。特别适合于机场候机楼、车站、码头、商场、体育场馆、小区物业、厂矿车间等较大范围的高空连续作业。</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产品特点：</w:t>
      </w:r>
    </w:p>
    <w:p>
      <w:pPr>
        <w:spacing w:line="360" w:lineRule="auto"/>
        <w:rPr>
          <w:rFonts w:ascii="黑体" w:hAnsi="黑体" w:eastAsia="黑体"/>
          <w:sz w:val="24"/>
        </w:rPr>
      </w:pPr>
      <w:r>
        <w:rPr>
          <w:rFonts w:hint="eastAsia" w:ascii="黑体" w:hAnsi="黑体" w:eastAsia="黑体"/>
          <w:sz w:val="24"/>
        </w:rPr>
        <w:t xml:space="preserve">1、安全认证 </w:t>
      </w:r>
    </w:p>
    <w:p>
      <w:pPr>
        <w:spacing w:line="360" w:lineRule="auto"/>
        <w:ind w:firstLine="480" w:firstLineChars="200"/>
        <w:rPr>
          <w:rFonts w:ascii="黑体" w:hAnsi="黑体" w:eastAsia="黑体"/>
          <w:sz w:val="24"/>
        </w:rPr>
      </w:pPr>
      <w:r>
        <w:rPr>
          <w:rFonts w:hint="eastAsia" w:ascii="黑体" w:hAnsi="黑体" w:eastAsia="黑体"/>
          <w:sz w:val="24"/>
        </w:rPr>
        <w:t xml:space="preserve">符合欧盟EN280 标准，取得欧盟CE 认证。 </w:t>
      </w:r>
    </w:p>
    <w:p>
      <w:pPr>
        <w:spacing w:line="360" w:lineRule="auto"/>
        <w:rPr>
          <w:rFonts w:ascii="黑体" w:hAnsi="黑体" w:eastAsia="黑体"/>
          <w:sz w:val="24"/>
        </w:rPr>
      </w:pPr>
      <w:r>
        <w:rPr>
          <w:rFonts w:hint="eastAsia" w:ascii="黑体" w:hAnsi="黑体" w:eastAsia="黑体"/>
          <w:sz w:val="24"/>
        </w:rPr>
        <w:t xml:space="preserve">2、高空作业可行走 </w:t>
      </w:r>
    </w:p>
    <w:p>
      <w:pPr>
        <w:spacing w:line="360" w:lineRule="auto"/>
        <w:ind w:firstLine="480" w:firstLineChars="200"/>
        <w:rPr>
          <w:rFonts w:ascii="黑体" w:hAnsi="黑体" w:eastAsia="黑体"/>
          <w:sz w:val="24"/>
        </w:rPr>
      </w:pPr>
      <w:r>
        <w:rPr>
          <w:rFonts w:hint="eastAsia" w:ascii="黑体" w:hAnsi="黑体" w:eastAsia="黑体"/>
          <w:sz w:val="24"/>
        </w:rPr>
        <w:t>它具有自动行走的功能，能够在不同工作状态下，快速、慢速行走，只需一个人在高空作业时可操作机器连续完成升降、前进、后退、转向等动作，较传统的液压平台大大提高了工作效率，减少操作人员数量及劳动强度。</w:t>
      </w:r>
    </w:p>
    <w:p>
      <w:pPr>
        <w:spacing w:line="360" w:lineRule="auto"/>
        <w:rPr>
          <w:rFonts w:ascii="黑体" w:hAnsi="黑体" w:eastAsia="黑体"/>
          <w:sz w:val="24"/>
        </w:rPr>
      </w:pPr>
      <w:r>
        <w:rPr>
          <w:rFonts w:hint="eastAsia" w:ascii="黑体" w:hAnsi="黑体" w:eastAsia="黑体"/>
          <w:sz w:val="24"/>
        </w:rPr>
        <w:t xml:space="preserve">3、无级变速 </w:t>
      </w:r>
    </w:p>
    <w:p>
      <w:pPr>
        <w:spacing w:line="360" w:lineRule="auto"/>
        <w:ind w:firstLine="480" w:firstLineChars="200"/>
        <w:rPr>
          <w:rFonts w:ascii="黑体" w:hAnsi="黑体" w:eastAsia="黑体"/>
          <w:sz w:val="24"/>
        </w:rPr>
      </w:pPr>
      <w:r>
        <w:rPr>
          <w:rFonts w:hint="eastAsia" w:ascii="黑体" w:hAnsi="黑体" w:eastAsia="黑体"/>
          <w:sz w:val="24"/>
        </w:rPr>
        <w:t xml:space="preserve">只需一个人操作，所有的动作均在工作台上用操作手柄控制，电机为无级变速。有效的延长了蓄电池和电机的使用寿命，电机仅消耗工作时的能量。 </w:t>
      </w:r>
    </w:p>
    <w:p>
      <w:pPr>
        <w:spacing w:line="360" w:lineRule="auto"/>
        <w:rPr>
          <w:rFonts w:ascii="黑体" w:hAnsi="黑体" w:eastAsia="黑体"/>
          <w:sz w:val="24"/>
        </w:rPr>
      </w:pPr>
      <w:r>
        <w:rPr>
          <w:rFonts w:hint="eastAsia" w:ascii="黑体" w:hAnsi="黑体" w:eastAsia="黑体"/>
          <w:sz w:val="24"/>
        </w:rPr>
        <w:t xml:space="preserve">4、大角度转向系统 </w:t>
      </w:r>
    </w:p>
    <w:p>
      <w:pPr>
        <w:spacing w:line="360" w:lineRule="auto"/>
        <w:ind w:firstLine="480" w:firstLineChars="200"/>
        <w:rPr>
          <w:rFonts w:ascii="黑体" w:hAnsi="黑体" w:eastAsia="黑体"/>
          <w:sz w:val="24"/>
        </w:rPr>
      </w:pPr>
      <w:r>
        <w:rPr>
          <w:rFonts w:hint="eastAsia" w:ascii="黑体" w:hAnsi="黑体" w:eastAsia="黑体"/>
          <w:sz w:val="24"/>
        </w:rPr>
        <w:t xml:space="preserve">采用差速转向原理，设计0角度转向系统，使得该机具有优良的灵活性。 </w:t>
      </w:r>
    </w:p>
    <w:p>
      <w:pPr>
        <w:spacing w:line="360" w:lineRule="auto"/>
        <w:rPr>
          <w:rFonts w:ascii="黑体" w:hAnsi="黑体" w:eastAsia="黑体"/>
          <w:sz w:val="24"/>
        </w:rPr>
      </w:pPr>
      <w:r>
        <w:rPr>
          <w:rFonts w:hint="eastAsia" w:ascii="黑体" w:hAnsi="黑体" w:eastAsia="黑体"/>
          <w:sz w:val="24"/>
        </w:rPr>
        <w:t xml:space="preserve">5、智能充电系统 </w:t>
      </w:r>
    </w:p>
    <w:p>
      <w:pPr>
        <w:spacing w:line="360" w:lineRule="auto"/>
        <w:ind w:firstLine="480" w:firstLineChars="200"/>
        <w:rPr>
          <w:rFonts w:ascii="黑体" w:hAnsi="黑体" w:eastAsia="黑体"/>
          <w:sz w:val="24"/>
        </w:rPr>
      </w:pPr>
      <w:r>
        <w:rPr>
          <w:rFonts w:hint="eastAsia" w:ascii="黑体" w:hAnsi="黑体" w:eastAsia="黑体"/>
          <w:sz w:val="24"/>
        </w:rPr>
        <w:t xml:space="preserve">配置全自动充电器，能自动完成充电全过程，电池充满后会自动停止充电。 </w:t>
      </w:r>
    </w:p>
    <w:p>
      <w:pPr>
        <w:spacing w:line="360" w:lineRule="auto"/>
        <w:rPr>
          <w:rFonts w:ascii="黑体" w:hAnsi="黑体" w:eastAsia="黑体"/>
          <w:sz w:val="24"/>
        </w:rPr>
      </w:pPr>
      <w:r>
        <w:rPr>
          <w:rFonts w:hint="eastAsia" w:ascii="黑体" w:hAnsi="黑体" w:eastAsia="黑体"/>
          <w:sz w:val="24"/>
        </w:rPr>
        <w:t xml:space="preserve">6、延伸平台 </w:t>
      </w:r>
    </w:p>
    <w:p>
      <w:pPr>
        <w:spacing w:line="360" w:lineRule="auto"/>
        <w:ind w:firstLine="480" w:firstLineChars="200"/>
        <w:rPr>
          <w:rFonts w:ascii="黑体" w:hAnsi="黑体" w:eastAsia="黑体"/>
          <w:sz w:val="24"/>
        </w:rPr>
      </w:pPr>
      <w:r>
        <w:rPr>
          <w:rFonts w:hint="eastAsia" w:ascii="黑体" w:hAnsi="黑体" w:eastAsia="黑体"/>
          <w:sz w:val="24"/>
        </w:rPr>
        <w:t>工作平台可移出，扩大了工作范围，可满足部分用户的特殊需要。</w:t>
      </w:r>
    </w:p>
    <w:p>
      <w:pPr>
        <w:spacing w:line="360" w:lineRule="auto"/>
        <w:rPr>
          <w:rFonts w:ascii="黑体" w:hAnsi="黑体" w:eastAsia="黑体"/>
          <w:color w:val="FF0000"/>
          <w:sz w:val="24"/>
        </w:rPr>
      </w:pPr>
      <w:r>
        <w:rPr>
          <w:rFonts w:hint="eastAsia" w:ascii="黑体" w:hAnsi="黑体" w:eastAsia="黑体"/>
          <w:color w:val="FF0000"/>
          <w:sz w:val="24"/>
        </w:rPr>
        <w:t xml:space="preserve">7、超载保护 </w:t>
      </w:r>
    </w:p>
    <w:p>
      <w:pPr>
        <w:spacing w:line="360" w:lineRule="auto"/>
        <w:ind w:firstLine="480" w:firstLineChars="200"/>
        <w:rPr>
          <w:rFonts w:ascii="黑体" w:hAnsi="黑体" w:eastAsia="黑体"/>
          <w:sz w:val="24"/>
        </w:rPr>
      </w:pPr>
      <w:r>
        <w:rPr>
          <w:rFonts w:hint="eastAsia" w:ascii="黑体" w:hAnsi="黑体" w:eastAsia="黑体"/>
          <w:color w:val="FF0000"/>
          <w:sz w:val="24"/>
        </w:rPr>
        <w:t xml:space="preserve">具备超载保护功能，对于不熟悉此设备的人员具有强制保护作用。 </w:t>
      </w:r>
      <w:r>
        <w:rPr>
          <w:rFonts w:hint="eastAsia" w:ascii="黑体" w:hAnsi="黑体" w:eastAsia="黑体"/>
          <w:sz w:val="24"/>
        </w:rPr>
        <w:t xml:space="preserve"> </w:t>
      </w:r>
    </w:p>
    <w:p>
      <w:pPr>
        <w:spacing w:line="360" w:lineRule="auto"/>
        <w:rPr>
          <w:rFonts w:ascii="黑体" w:hAnsi="黑体" w:eastAsia="黑体"/>
          <w:sz w:val="24"/>
        </w:rPr>
      </w:pPr>
    </w:p>
    <w:p>
      <w:pPr>
        <w:spacing w:line="360" w:lineRule="auto"/>
        <w:rPr>
          <w:rFonts w:ascii="黑体" w:hAnsi="黑体" w:eastAsia="黑体"/>
          <w:sz w:val="24"/>
        </w:rPr>
      </w:pPr>
      <w:r>
        <w:rPr>
          <w:rFonts w:hint="eastAsia" w:ascii="黑体" w:hAnsi="黑体" w:eastAsia="黑体"/>
          <w:sz w:val="24"/>
        </w:rPr>
        <w:t>8、停电自锁功能</w:t>
      </w:r>
    </w:p>
    <w:p>
      <w:pPr>
        <w:spacing w:line="360" w:lineRule="auto"/>
        <w:rPr>
          <w:rFonts w:ascii="黑体" w:hAnsi="黑体" w:eastAsia="黑体"/>
          <w:sz w:val="24"/>
        </w:rPr>
      </w:pPr>
      <w:r>
        <w:rPr>
          <w:rFonts w:hint="eastAsia" w:ascii="黑体" w:hAnsi="黑体" w:eastAsia="黑体"/>
          <w:sz w:val="24"/>
        </w:rPr>
        <w:t xml:space="preserve">   在停电或突然断电时会自动锁止在当时高度</w:t>
      </w:r>
    </w:p>
    <w:p>
      <w:pPr>
        <w:spacing w:line="360" w:lineRule="auto"/>
        <w:rPr>
          <w:rFonts w:ascii="黑体" w:hAnsi="黑体" w:eastAsia="黑体"/>
          <w:sz w:val="24"/>
        </w:rPr>
      </w:pPr>
      <w:r>
        <w:rPr>
          <w:rFonts w:hint="eastAsia" w:ascii="黑体" w:hAnsi="黑体" w:eastAsia="黑体"/>
          <w:sz w:val="24"/>
        </w:rPr>
        <w:t xml:space="preserve">9、绿色环保 </w:t>
      </w:r>
    </w:p>
    <w:p>
      <w:pPr>
        <w:spacing w:line="360" w:lineRule="auto"/>
        <w:ind w:firstLine="480" w:firstLineChars="200"/>
        <w:rPr>
          <w:rFonts w:ascii="黑体" w:hAnsi="黑体" w:eastAsia="黑体"/>
          <w:sz w:val="24"/>
        </w:rPr>
      </w:pPr>
      <w:r>
        <w:rPr>
          <w:rFonts w:hint="eastAsia" w:ascii="黑体" w:hAnsi="黑体" w:eastAsia="黑体"/>
          <w:sz w:val="24"/>
        </w:rPr>
        <w:t xml:space="preserve">由于该机采用直流蓄电池动力，本机可安全安静的适合室内或室外工作。 </w:t>
      </w:r>
    </w:p>
    <w:p>
      <w:pPr>
        <w:spacing w:line="360" w:lineRule="auto"/>
        <w:rPr>
          <w:rFonts w:ascii="黑体" w:hAnsi="黑体" w:eastAsia="黑体"/>
          <w:sz w:val="24"/>
        </w:rPr>
      </w:pPr>
      <w:r>
        <w:rPr>
          <w:rFonts w:hint="eastAsia" w:ascii="黑体" w:hAnsi="黑体" w:eastAsia="黑体"/>
          <w:sz w:val="24"/>
        </w:rPr>
        <w:t xml:space="preserve">10、应急装置 </w:t>
      </w:r>
    </w:p>
    <w:p>
      <w:pPr>
        <w:ind w:firstLine="480" w:firstLineChars="200"/>
        <w:rPr>
          <w:rFonts w:ascii="黑体" w:hAnsi="黑体" w:eastAsia="黑体"/>
          <w:sz w:val="24"/>
        </w:rPr>
      </w:pPr>
      <w:r>
        <w:rPr>
          <w:rFonts w:hint="eastAsia" w:ascii="黑体" w:hAnsi="黑体" w:eastAsia="黑体"/>
          <w:sz w:val="24"/>
        </w:rPr>
        <w:t>设置有紧急下降系统</w:t>
      </w:r>
    </w:p>
    <w:p>
      <w:pPr>
        <w:rPr>
          <w:rFonts w:ascii="黑体" w:hAnsi="黑体" w:eastAsia="黑体"/>
          <w:b/>
          <w:sz w:val="28"/>
          <w:szCs w:val="28"/>
        </w:rPr>
      </w:pPr>
      <w:r>
        <w:rPr>
          <w:rFonts w:hint="eastAsia" w:ascii="黑体" w:hAnsi="黑体" w:eastAsia="黑体"/>
          <w:sz w:val="24"/>
        </w:rPr>
        <w:t>11、防爆阀</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五、</w:t>
      </w:r>
      <w:r>
        <w:rPr>
          <w:rFonts w:hint="eastAsia" w:ascii="黑体" w:hAnsi="黑体" w:eastAsia="黑体"/>
          <w:b/>
          <w:color w:val="0D1F0F"/>
          <w:sz w:val="28"/>
          <w:szCs w:val="28"/>
        </w:rPr>
        <w:t>技术图纸资料</w:t>
      </w:r>
    </w:p>
    <w:p>
      <w:pPr>
        <w:spacing w:line="560" w:lineRule="exact"/>
        <w:ind w:firstLine="480" w:firstLineChars="200"/>
        <w:rPr>
          <w:rFonts w:ascii="黑体" w:hAnsi="黑体" w:eastAsia="黑体"/>
          <w:sz w:val="24"/>
          <w:szCs w:val="24"/>
        </w:rPr>
      </w:pPr>
      <w:r>
        <w:rPr>
          <w:rFonts w:hint="eastAsia" w:ascii="黑体" w:hAnsi="黑体" w:eastAsia="黑体"/>
          <w:sz w:val="24"/>
          <w:szCs w:val="24"/>
        </w:rPr>
        <w:t>1、提供本设备《全自行剪叉式高空作业平台使用维护说明书》中文1套。</w:t>
      </w:r>
    </w:p>
    <w:p>
      <w:pPr>
        <w:numPr>
          <w:ilvl w:val="0"/>
          <w:numId w:val="1"/>
        </w:numPr>
        <w:spacing w:line="560" w:lineRule="exact"/>
        <w:rPr>
          <w:rFonts w:ascii="黑体" w:hAnsi="黑体" w:eastAsia="黑体"/>
          <w:sz w:val="24"/>
          <w:szCs w:val="24"/>
        </w:rPr>
      </w:pPr>
      <w:r>
        <w:rPr>
          <w:rFonts w:hint="eastAsia" w:ascii="黑体" w:hAnsi="黑体" w:eastAsia="黑体"/>
          <w:sz w:val="24"/>
          <w:szCs w:val="24"/>
        </w:rPr>
        <w:t>提供含液压、电器系统原理图中文1套。</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六、</w:t>
      </w:r>
      <w:r>
        <w:rPr>
          <w:rFonts w:hint="eastAsia" w:ascii="黑体" w:hAnsi="黑体" w:eastAsia="黑体"/>
          <w:b/>
          <w:color w:val="0D1F0F"/>
          <w:sz w:val="28"/>
          <w:szCs w:val="28"/>
        </w:rPr>
        <w:t>随机备件及工具</w:t>
      </w:r>
    </w:p>
    <w:tbl>
      <w:tblPr>
        <w:tblStyle w:val="7"/>
        <w:tblW w:w="832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609"/>
        <w:gridCol w:w="1687"/>
        <w:gridCol w:w="166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序号</w:t>
            </w:r>
          </w:p>
        </w:tc>
        <w:tc>
          <w:tcPr>
            <w:tcW w:w="2609"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名称</w:t>
            </w:r>
          </w:p>
        </w:tc>
        <w:tc>
          <w:tcPr>
            <w:tcW w:w="1687"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规格型号</w:t>
            </w:r>
          </w:p>
        </w:tc>
        <w:tc>
          <w:tcPr>
            <w:tcW w:w="166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数量</w:t>
            </w:r>
          </w:p>
        </w:tc>
        <w:tc>
          <w:tcPr>
            <w:tcW w:w="164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1</w:t>
            </w:r>
          </w:p>
        </w:tc>
        <w:tc>
          <w:tcPr>
            <w:tcW w:w="2609" w:type="dxa"/>
            <w:vAlign w:val="center"/>
          </w:tcPr>
          <w:p>
            <w:pPr>
              <w:ind w:firstLine="600" w:firstLineChars="250"/>
              <w:rPr>
                <w:rFonts w:ascii="黑体" w:hAnsi="黑体" w:eastAsia="黑体"/>
                <w:sz w:val="24"/>
              </w:rPr>
            </w:pPr>
            <w:r>
              <w:rPr>
                <w:rFonts w:hint="eastAsia" w:ascii="黑体" w:hAnsi="黑体" w:eastAsia="黑体"/>
                <w:sz w:val="24"/>
              </w:rPr>
              <w:t>活动扳手</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8寸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2</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十字螺丝批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3</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一字螺丝批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4</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40*3</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5</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360" w:firstLineChars="150"/>
              <w:rPr>
                <w:rFonts w:ascii="黑体" w:hAnsi="黑体" w:eastAsia="黑体"/>
                <w:sz w:val="24"/>
              </w:rPr>
            </w:pPr>
            <w:r>
              <w:rPr>
                <w:rFonts w:hint="eastAsia" w:ascii="黑体" w:hAnsi="黑体" w:eastAsia="黑体"/>
                <w:sz w:val="24"/>
              </w:rPr>
              <w:t>11*1.9</w:t>
            </w:r>
          </w:p>
        </w:tc>
        <w:tc>
          <w:tcPr>
            <w:tcW w:w="1668" w:type="dxa"/>
            <w:vAlign w:val="center"/>
          </w:tcPr>
          <w:p>
            <w:pPr>
              <w:jc w:val="center"/>
              <w:rPr>
                <w:rFonts w:ascii="黑体" w:hAnsi="黑体" w:eastAsia="黑体"/>
                <w:sz w:val="24"/>
              </w:rPr>
            </w:pPr>
            <w:r>
              <w:rPr>
                <w:rFonts w:hint="eastAsia" w:ascii="黑体" w:hAnsi="黑体" w:eastAsia="黑体"/>
                <w:sz w:val="24"/>
              </w:rPr>
              <w:t>4</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6</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“D”型销</w:t>
            </w:r>
          </w:p>
        </w:tc>
        <w:tc>
          <w:tcPr>
            <w:tcW w:w="1687" w:type="dxa"/>
            <w:vAlign w:val="center"/>
          </w:tcPr>
          <w:p>
            <w:pPr>
              <w:ind w:firstLine="360" w:firstLineChars="150"/>
              <w:rPr>
                <w:rFonts w:ascii="黑体" w:hAnsi="黑体" w:eastAsia="黑体"/>
                <w:sz w:val="24"/>
              </w:rPr>
            </w:pPr>
            <w:r>
              <w:rPr>
                <w:rFonts w:ascii="黑体" w:hAnsi="黑体" w:eastAsia="黑体"/>
                <w:sz w:val="24"/>
              </w:rPr>
              <w:t>J</w:t>
            </w:r>
            <w:r>
              <w:rPr>
                <w:rFonts w:hint="eastAsia" w:ascii="黑体" w:hAnsi="黑体" w:eastAsia="黑体"/>
                <w:sz w:val="24"/>
              </w:rPr>
              <w:t>hc0206</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bl>
    <w:p>
      <w:pPr>
        <w:spacing w:line="480" w:lineRule="exact"/>
        <w:rPr>
          <w:rFonts w:ascii="黑体" w:hAnsi="黑体" w:eastAsia="黑体"/>
          <w:b/>
          <w:bCs/>
          <w:sz w:val="28"/>
          <w:szCs w:val="28"/>
        </w:rPr>
      </w:pPr>
    </w:p>
    <w:p>
      <w:pPr>
        <w:spacing w:line="480" w:lineRule="exact"/>
        <w:rPr>
          <w:rFonts w:ascii="黑体" w:hAnsi="黑体" w:eastAsia="黑体"/>
          <w:b/>
          <w:bCs/>
          <w:sz w:val="28"/>
          <w:szCs w:val="28"/>
        </w:rPr>
      </w:pPr>
      <w:r>
        <w:rPr>
          <w:rFonts w:hint="eastAsia" w:ascii="黑体" w:hAnsi="黑体" w:eastAsia="黑体"/>
          <w:b/>
          <w:bCs/>
          <w:sz w:val="28"/>
          <w:szCs w:val="28"/>
        </w:rPr>
        <w:t>七、培训验收</w:t>
      </w:r>
    </w:p>
    <w:p>
      <w:pPr>
        <w:spacing w:line="480" w:lineRule="exact"/>
        <w:ind w:left="549" w:leftChars="90" w:hanging="360" w:hangingChars="150"/>
        <w:rPr>
          <w:rFonts w:ascii="黑体" w:hAnsi="黑体" w:eastAsia="黑体" w:cs="Arial"/>
          <w:sz w:val="24"/>
          <w:szCs w:val="24"/>
        </w:rPr>
      </w:pPr>
      <w:r>
        <w:rPr>
          <w:rFonts w:hint="eastAsia" w:ascii="黑体" w:hAnsi="黑体" w:eastAsia="黑体" w:cs="Arial"/>
          <w:sz w:val="24"/>
          <w:szCs w:val="24"/>
        </w:rPr>
        <w:t>1、</w:t>
      </w:r>
      <w:r>
        <w:rPr>
          <w:rFonts w:ascii="黑体" w:hAnsi="黑体" w:eastAsia="黑体" w:cs="Arial"/>
          <w:sz w:val="24"/>
          <w:szCs w:val="24"/>
        </w:rPr>
        <w:t>商务合同签订时，供方应提供本设备现场验收交接时设备技术性能验收项目和技术标准。由甲需方确认同意作为本协议附件。</w:t>
      </w:r>
    </w:p>
    <w:p>
      <w:pPr>
        <w:spacing w:line="480" w:lineRule="exact"/>
        <w:ind w:left="570" w:leftChars="100" w:hanging="360" w:hangingChars="150"/>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本设备在需方现场验收交接时，由供方免费对设备使用操作和维护人员进行培训。</w:t>
      </w:r>
    </w:p>
    <w:p>
      <w:pPr>
        <w:spacing w:line="480" w:lineRule="exact"/>
        <w:ind w:left="600" w:hanging="600" w:hangingChars="250"/>
        <w:rPr>
          <w:rFonts w:ascii="黑体" w:hAnsi="黑体" w:eastAsia="黑体"/>
          <w:sz w:val="24"/>
          <w:szCs w:val="24"/>
        </w:rPr>
      </w:pPr>
      <w:r>
        <w:rPr>
          <w:rFonts w:hint="eastAsia" w:ascii="黑体" w:hAnsi="黑体" w:eastAsia="黑体"/>
          <w:sz w:val="24"/>
          <w:szCs w:val="24"/>
        </w:rPr>
        <w:t xml:space="preserve">  3、 由甲方安排培训时间人员向乙方人员实施培训。培训包括操作培训、理论培训、及快捷维护、维修培训。</w:t>
      </w:r>
    </w:p>
    <w:p>
      <w:pPr>
        <w:spacing w:line="480" w:lineRule="exact"/>
        <w:rPr>
          <w:rFonts w:ascii="黑体" w:hAnsi="黑体" w:eastAsia="黑体"/>
          <w:sz w:val="24"/>
          <w:szCs w:val="24"/>
        </w:rPr>
      </w:pPr>
      <w:r>
        <w:rPr>
          <w:rFonts w:hint="eastAsia" w:ascii="黑体" w:hAnsi="黑体" w:eastAsia="黑体"/>
          <w:b/>
          <w:sz w:val="28"/>
          <w:szCs w:val="28"/>
        </w:rPr>
        <w:t>八、质保期</w:t>
      </w:r>
      <w:r>
        <w:rPr>
          <w:rFonts w:hint="eastAsia" w:ascii="黑体" w:hAnsi="黑体" w:eastAsia="黑体"/>
          <w:sz w:val="24"/>
          <w:szCs w:val="24"/>
        </w:rPr>
        <w:t xml:space="preserve"> </w:t>
      </w:r>
    </w:p>
    <w:p>
      <w:pPr>
        <w:spacing w:line="440" w:lineRule="exact"/>
        <w:ind w:firstLine="240" w:firstLineChars="100"/>
        <w:rPr>
          <w:rFonts w:ascii="黑体" w:hAnsi="黑体" w:eastAsia="黑体"/>
          <w:sz w:val="24"/>
          <w:szCs w:val="24"/>
        </w:rPr>
      </w:pPr>
      <w:r>
        <w:rPr>
          <w:rFonts w:hint="eastAsia" w:ascii="黑体" w:hAnsi="黑体" w:eastAsia="黑体"/>
          <w:sz w:val="24"/>
          <w:szCs w:val="24"/>
        </w:rPr>
        <w:t>1、整机保修12个月（不含易损件，不包含轮胎和电池）；</w:t>
      </w:r>
    </w:p>
    <w:p>
      <w:pPr>
        <w:spacing w:line="360" w:lineRule="auto"/>
        <w:rPr>
          <w:rFonts w:ascii="黑体" w:hAnsi="黑体" w:eastAsia="黑体"/>
          <w:b/>
          <w:sz w:val="28"/>
          <w:szCs w:val="28"/>
        </w:rPr>
      </w:pPr>
      <w:r>
        <w:rPr>
          <w:rFonts w:hint="eastAsia" w:ascii="黑体" w:hAnsi="黑体" w:eastAsia="黑体"/>
          <w:b/>
          <w:sz w:val="28"/>
          <w:szCs w:val="28"/>
        </w:rPr>
        <w:t>九、运输进场方案</w:t>
      </w:r>
    </w:p>
    <w:p>
      <w:pPr>
        <w:spacing w:line="360" w:lineRule="auto"/>
        <w:ind w:left="315" w:leftChars="150" w:firstLine="480" w:firstLineChars="200"/>
        <w:rPr>
          <w:rFonts w:ascii="黑体" w:hAnsi="黑体" w:eastAsia="黑体"/>
          <w:sz w:val="24"/>
        </w:rPr>
      </w:pPr>
      <w:r>
        <w:rPr>
          <w:rFonts w:hint="eastAsia" w:ascii="黑体" w:hAnsi="黑体" w:eastAsia="黑体"/>
          <w:sz w:val="24"/>
        </w:rPr>
        <w:t>产品由本公司委托专业运输公司平板车公路运输至规定交货地点。由贵方提供叉车或者吊车卸下即可。</w:t>
      </w:r>
    </w:p>
    <w:p>
      <w:pPr>
        <w:spacing w:beforeLines="50" w:afterLines="50" w:line="560" w:lineRule="exact"/>
        <w:rPr>
          <w:rFonts w:ascii="黑体" w:hAnsi="黑体" w:eastAsia="黑体"/>
          <w:b/>
          <w:sz w:val="28"/>
          <w:szCs w:val="28"/>
        </w:rPr>
      </w:pPr>
      <w:r>
        <w:rPr>
          <w:rFonts w:hint="eastAsia" w:ascii="黑体" w:hAnsi="黑体" w:eastAsia="黑体"/>
          <w:b/>
          <w:sz w:val="28"/>
          <w:szCs w:val="28"/>
        </w:rPr>
        <w:t>十、售后服务</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备件更换</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在质保期内，产品若发生由于因设计、制造质量或采购错误所导致的零部件损坏等问题，乙方将到现场免费维修更换损坏的产品，所更换的零部件从更换之日起重新计算保质期（人为造成设备的损坏甲方负全部责任）。</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故障响应</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乙方所提供的软硬件系统发生严重的甲方无能力处理和修复的故障后，甲方应立即通知乙方，乙方在接到故障通知后2个小时做出响应，48小时内派技术人员到达现场。如属于软件故障，乙方亦可在接到故障通知两小时内给予电话、传真解答，若解答不了，乙方在24小时内派技术人员到达现场。</w:t>
      </w:r>
    </w:p>
    <w:p>
      <w:pPr>
        <w:numPr>
          <w:ilvl w:val="0"/>
          <w:numId w:val="2"/>
        </w:numPr>
        <w:adjustRightInd w:val="0"/>
        <w:spacing w:line="360" w:lineRule="auto"/>
        <w:jc w:val="left"/>
        <w:textAlignment w:val="baseline"/>
        <w:rPr>
          <w:rFonts w:ascii="黑体" w:hAnsi="黑体" w:eastAsia="黑体" w:cs="Courier New"/>
          <w:sz w:val="24"/>
        </w:rPr>
      </w:pPr>
      <w:bookmarkStart w:id="1" w:name="_Toc116815199"/>
      <w:bookmarkStart w:id="2" w:name="_Toc116815119"/>
      <w:bookmarkStart w:id="3" w:name="_Toc116814790"/>
      <w:bookmarkStart w:id="4" w:name="_Toc116814915"/>
      <w:bookmarkStart w:id="5" w:name="_Toc116814674"/>
      <w:r>
        <w:rPr>
          <w:rFonts w:hint="eastAsia" w:ascii="黑体" w:hAnsi="黑体" w:eastAsia="黑体" w:cs="Courier New"/>
          <w:sz w:val="24"/>
        </w:rPr>
        <w:t>备件服务</w:t>
      </w:r>
      <w:bookmarkEnd w:id="1"/>
      <w:bookmarkEnd w:id="2"/>
      <w:bookmarkEnd w:id="3"/>
      <w:bookmarkEnd w:id="4"/>
      <w:bookmarkEnd w:id="5"/>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rPr>
        <w:t>乙方备有充足的备件、配件，可及时向甲方提供技术服务和备件服务。乙方保证对设备所需配件提供终身备件和技术支持。</w:t>
      </w:r>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lang w:eastAsia="zh-CN"/>
        </w:rPr>
        <w:drawing>
          <wp:anchor distT="0" distB="0" distL="114300" distR="114300" simplePos="0" relativeHeight="251659264" behindDoc="0" locked="0" layoutInCell="1" allowOverlap="1">
            <wp:simplePos x="0" y="0"/>
            <wp:positionH relativeFrom="column">
              <wp:posOffset>727075</wp:posOffset>
            </wp:positionH>
            <wp:positionV relativeFrom="paragraph">
              <wp:posOffset>132080</wp:posOffset>
            </wp:positionV>
            <wp:extent cx="3727450" cy="2985770"/>
            <wp:effectExtent l="0" t="0" r="6350" b="1270"/>
            <wp:wrapNone/>
            <wp:docPr id="6" name="图片 6" descr="IH1A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H1A2388"/>
                    <pic:cNvPicPr>
                      <a:picLocks noChangeAspect="1"/>
                    </pic:cNvPicPr>
                  </pic:nvPicPr>
                  <pic:blipFill>
                    <a:blip r:embed="rId23"/>
                    <a:srcRect l="5016"/>
                    <a:stretch>
                      <a:fillRect/>
                    </a:stretch>
                  </pic:blipFill>
                  <pic:spPr>
                    <a:xfrm>
                      <a:off x="0" y="0"/>
                      <a:ext cx="3727450" cy="2985770"/>
                    </a:xfrm>
                    <a:prstGeom prst="rect">
                      <a:avLst/>
                    </a:prstGeom>
                  </pic:spPr>
                </pic:pic>
              </a:graphicData>
            </a:graphic>
          </wp:anchor>
        </w:drawing>
      </w:r>
    </w:p>
    <w:p>
      <w:pPr>
        <w:pStyle w:val="3"/>
        <w:spacing w:line="360" w:lineRule="auto"/>
        <w:ind w:left="315" w:leftChars="150" w:firstLine="480" w:firstLineChars="200"/>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河南江河特种车辆</w:t>
      </w:r>
      <w:r>
        <w:rPr>
          <w:rFonts w:hint="eastAsia" w:ascii="仿宋" w:hAnsi="仿宋" w:eastAsia="仿宋" w:cs="宋体"/>
          <w:b/>
          <w:bCs/>
          <w:color w:val="000000"/>
          <w:kern w:val="0"/>
          <w:sz w:val="24"/>
          <w:szCs w:val="24"/>
          <w:lang w:eastAsia="zh-CN"/>
        </w:rPr>
        <w:t>科技</w:t>
      </w:r>
      <w:r>
        <w:rPr>
          <w:rFonts w:hint="eastAsia" w:ascii="仿宋" w:hAnsi="仿宋" w:eastAsia="仿宋" w:cs="宋体"/>
          <w:b/>
          <w:bCs/>
          <w:color w:val="000000"/>
          <w:kern w:val="0"/>
          <w:sz w:val="24"/>
          <w:szCs w:val="24"/>
        </w:rPr>
        <w:t>有限公司</w:t>
      </w:r>
    </w:p>
    <w:p>
      <w:pPr>
        <w:widowControl/>
        <w:shd w:val="clear" w:color="auto" w:fill="FFFFFF"/>
        <w:spacing w:line="240" w:lineRule="atLeast"/>
        <w:ind w:firstLine="1687" w:firstLineChars="70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工厂地址:</w:t>
      </w:r>
      <w:r>
        <w:rPr>
          <w:rFonts w:hint="eastAsia" w:ascii="Calibri" w:hAnsi="Calibri" w:eastAsia="微软雅黑" w:cs="Calibri"/>
          <w:b/>
          <w:bCs/>
          <w:color w:val="000000"/>
          <w:kern w:val="0"/>
          <w:sz w:val="24"/>
          <w:szCs w:val="24"/>
        </w:rPr>
        <w:t> </w:t>
      </w:r>
      <w:r>
        <w:rPr>
          <w:rFonts w:hint="eastAsia" w:ascii="仿宋" w:hAnsi="仿宋" w:eastAsia="仿宋" w:cs="宋体"/>
          <w:b/>
          <w:bCs/>
          <w:color w:val="000000"/>
          <w:kern w:val="0"/>
          <w:sz w:val="24"/>
          <w:szCs w:val="24"/>
        </w:rPr>
        <w:t>河南省长垣县人民西段137号</w:t>
      </w:r>
    </w:p>
    <w:p>
      <w:pPr>
        <w:pStyle w:val="3"/>
        <w:spacing w:line="360" w:lineRule="auto"/>
        <w:ind w:left="315" w:leftChars="150" w:firstLine="480" w:firstLineChars="200"/>
        <w:rPr>
          <w:rFonts w:ascii="黑体" w:hAnsi="黑体" w:eastAsia="黑体"/>
          <w:sz w:val="24"/>
          <w:szCs w:val="24"/>
        </w:rPr>
      </w:pPr>
    </w:p>
    <w:sectPr>
      <w:headerReference r:id="rId6" w:type="default"/>
      <w:footerReference r:id="rId7" w:type="default"/>
      <w:footerReference r:id="rId8" w:type="even"/>
      <w:pgSz w:w="11906" w:h="16838"/>
      <w:pgMar w:top="1440" w:right="1797" w:bottom="1134" w:left="1797" w:header="851" w:footer="51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姚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373" w:firstLineChars="1400"/>
    </w:pPr>
    <w:r>
      <w:rPr>
        <w:rFonts w:hint="eastAsia" w:ascii="仿宋" w:hAnsi="仿宋" w:eastAsia="仿宋" w:cs="宋体"/>
        <w:b/>
        <w:bCs/>
        <w:color w:val="000000"/>
        <w:kern w:val="0"/>
        <w:sz w:val="24"/>
        <w:szCs w:val="24"/>
        <w:shd w:val="clear" w:color="auto" w:fill="FFFFFF"/>
      </w:rPr>
      <w:t>http://www.hnjhsv.com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8</w:t>
    </w:r>
    <w:r>
      <w:fldChar w:fldCharType="end"/>
    </w:r>
  </w:p>
  <w:p>
    <w:pPr>
      <w:pStyle w:val="5"/>
      <w:jc w:val="center"/>
      <w:rPr>
        <w:rFonts w:ascii="方正姚体" w:eastAsia="方正姚体"/>
      </w:rPr>
    </w:pPr>
    <w:r>
      <w:rPr>
        <w:rFonts w:hint="eastAsia" w:ascii="仿宋" w:hAnsi="仿宋" w:eastAsia="仿宋" w:cs="宋体"/>
        <w:b/>
        <w:bCs/>
        <w:color w:val="000000"/>
        <w:kern w:val="0"/>
        <w:sz w:val="24"/>
        <w:szCs w:val="24"/>
        <w:shd w:val="clear" w:color="auto" w:fill="FFFFFF"/>
      </w:rPr>
      <w:t>http://www.hnjhsv.com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2"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r>
      <w:rPr>
        <w:rFonts w:hint="eastAsia" w:ascii="楷体" w:hAnsi="楷体" w:eastAsia="楷体"/>
        <w:sz w:val="44"/>
        <w:szCs w:val="44"/>
      </w:rPr>
      <w:t xml:space="preserve"> 涓 流 汇 江 河   奔 腾 自 高 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15"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drawing>
        <wp:inline distT="0" distB="0" distL="0" distR="0">
          <wp:extent cx="1285875" cy="444500"/>
          <wp:effectExtent l="19050" t="0" r="0" b="0"/>
          <wp:docPr id="14"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p>
    <w:pPr>
      <w:pStyle w:val="6"/>
      <w:pBdr>
        <w:bottom w:val="none" w:color="auto" w:sz="0" w:space="0"/>
      </w:pBdr>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61E39"/>
    <w:multiLevelType w:val="multilevel"/>
    <w:tmpl w:val="40C61E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755196"/>
    <w:multiLevelType w:val="multilevel"/>
    <w:tmpl w:val="6E755196"/>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D71"/>
    <w:rsid w:val="000028CF"/>
    <w:rsid w:val="00040AF3"/>
    <w:rsid w:val="00042A9D"/>
    <w:rsid w:val="0007412E"/>
    <w:rsid w:val="00090188"/>
    <w:rsid w:val="000941F3"/>
    <w:rsid w:val="000A74D2"/>
    <w:rsid w:val="000C73BF"/>
    <w:rsid w:val="000D33F9"/>
    <w:rsid w:val="000F1B3D"/>
    <w:rsid w:val="00116AAE"/>
    <w:rsid w:val="001404F2"/>
    <w:rsid w:val="00151DFA"/>
    <w:rsid w:val="00154C7D"/>
    <w:rsid w:val="00173881"/>
    <w:rsid w:val="001A5FB5"/>
    <w:rsid w:val="001B697C"/>
    <w:rsid w:val="001D70F9"/>
    <w:rsid w:val="001E6373"/>
    <w:rsid w:val="00201B15"/>
    <w:rsid w:val="002200A2"/>
    <w:rsid w:val="00220B97"/>
    <w:rsid w:val="00226498"/>
    <w:rsid w:val="002336BD"/>
    <w:rsid w:val="0025331F"/>
    <w:rsid w:val="00263A36"/>
    <w:rsid w:val="00264BE1"/>
    <w:rsid w:val="00292FB4"/>
    <w:rsid w:val="002A4D35"/>
    <w:rsid w:val="002D3A1E"/>
    <w:rsid w:val="002D7434"/>
    <w:rsid w:val="00307BB8"/>
    <w:rsid w:val="00327AF7"/>
    <w:rsid w:val="003318EA"/>
    <w:rsid w:val="00334686"/>
    <w:rsid w:val="00371A7C"/>
    <w:rsid w:val="003809A9"/>
    <w:rsid w:val="00383615"/>
    <w:rsid w:val="003860E4"/>
    <w:rsid w:val="003A6377"/>
    <w:rsid w:val="003C523F"/>
    <w:rsid w:val="004109EF"/>
    <w:rsid w:val="00413F9D"/>
    <w:rsid w:val="00434B60"/>
    <w:rsid w:val="00441722"/>
    <w:rsid w:val="00443205"/>
    <w:rsid w:val="004514A2"/>
    <w:rsid w:val="004634A7"/>
    <w:rsid w:val="00471902"/>
    <w:rsid w:val="00472BA3"/>
    <w:rsid w:val="00483942"/>
    <w:rsid w:val="00495524"/>
    <w:rsid w:val="004C1D98"/>
    <w:rsid w:val="004D6705"/>
    <w:rsid w:val="004F4875"/>
    <w:rsid w:val="0052389B"/>
    <w:rsid w:val="0052538A"/>
    <w:rsid w:val="005551F2"/>
    <w:rsid w:val="00580D54"/>
    <w:rsid w:val="0058302D"/>
    <w:rsid w:val="005B7CFC"/>
    <w:rsid w:val="005E4E9F"/>
    <w:rsid w:val="005E7A08"/>
    <w:rsid w:val="005E7D09"/>
    <w:rsid w:val="00612119"/>
    <w:rsid w:val="00625A8F"/>
    <w:rsid w:val="006944A3"/>
    <w:rsid w:val="006A12DB"/>
    <w:rsid w:val="006C2660"/>
    <w:rsid w:val="006F0FF4"/>
    <w:rsid w:val="00737D1E"/>
    <w:rsid w:val="007425F5"/>
    <w:rsid w:val="007530F5"/>
    <w:rsid w:val="00767A2B"/>
    <w:rsid w:val="0078132E"/>
    <w:rsid w:val="007A1AC2"/>
    <w:rsid w:val="00811BAD"/>
    <w:rsid w:val="00822E99"/>
    <w:rsid w:val="0087609D"/>
    <w:rsid w:val="008933E3"/>
    <w:rsid w:val="008940B7"/>
    <w:rsid w:val="0089752B"/>
    <w:rsid w:val="008C407A"/>
    <w:rsid w:val="008E3837"/>
    <w:rsid w:val="008E606A"/>
    <w:rsid w:val="009173C4"/>
    <w:rsid w:val="00940038"/>
    <w:rsid w:val="00947369"/>
    <w:rsid w:val="009501CE"/>
    <w:rsid w:val="0095397E"/>
    <w:rsid w:val="009540F6"/>
    <w:rsid w:val="00970396"/>
    <w:rsid w:val="0097523D"/>
    <w:rsid w:val="00975491"/>
    <w:rsid w:val="00991688"/>
    <w:rsid w:val="00996040"/>
    <w:rsid w:val="009A2BA6"/>
    <w:rsid w:val="009A4582"/>
    <w:rsid w:val="009A7329"/>
    <w:rsid w:val="009F0660"/>
    <w:rsid w:val="00A0408A"/>
    <w:rsid w:val="00AA7CE5"/>
    <w:rsid w:val="00AB000C"/>
    <w:rsid w:val="00AD4096"/>
    <w:rsid w:val="00AF703F"/>
    <w:rsid w:val="00B15C23"/>
    <w:rsid w:val="00B71C3A"/>
    <w:rsid w:val="00B811E6"/>
    <w:rsid w:val="00B86B09"/>
    <w:rsid w:val="00B95456"/>
    <w:rsid w:val="00BE6ADB"/>
    <w:rsid w:val="00C253EB"/>
    <w:rsid w:val="00C36029"/>
    <w:rsid w:val="00C709BD"/>
    <w:rsid w:val="00C7350C"/>
    <w:rsid w:val="00C92863"/>
    <w:rsid w:val="00CD4C12"/>
    <w:rsid w:val="00CD7C99"/>
    <w:rsid w:val="00CE51B9"/>
    <w:rsid w:val="00D140F9"/>
    <w:rsid w:val="00D15129"/>
    <w:rsid w:val="00D4229A"/>
    <w:rsid w:val="00D43C63"/>
    <w:rsid w:val="00D530FE"/>
    <w:rsid w:val="00D54E5F"/>
    <w:rsid w:val="00D56ACD"/>
    <w:rsid w:val="00D67234"/>
    <w:rsid w:val="00DF572A"/>
    <w:rsid w:val="00E115D7"/>
    <w:rsid w:val="00E94D71"/>
    <w:rsid w:val="00EA0E49"/>
    <w:rsid w:val="00EA1057"/>
    <w:rsid w:val="00EB5BD0"/>
    <w:rsid w:val="00EC2DCD"/>
    <w:rsid w:val="00F36889"/>
    <w:rsid w:val="00F71DCE"/>
    <w:rsid w:val="00F87AF4"/>
    <w:rsid w:val="00FB109B"/>
    <w:rsid w:val="00FD26BD"/>
    <w:rsid w:val="04AE4BC8"/>
    <w:rsid w:val="33730C22"/>
    <w:rsid w:val="41650EEE"/>
    <w:rsid w:val="472D0AA5"/>
    <w:rsid w:val="4B4B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widowControl/>
      <w:spacing w:line="533" w:lineRule="auto"/>
      <w:ind w:left="840" w:right="-120" w:hanging="420"/>
      <w:jc w:val="left"/>
    </w:pPr>
    <w:rPr>
      <w:kern w:val="0"/>
      <w:sz w:val="20"/>
    </w:rPr>
  </w:style>
  <w:style w:type="paragraph" w:styleId="3">
    <w:name w:val="Plain Text"/>
    <w:basedOn w:val="1"/>
    <w:link w:val="12"/>
    <w:unhideWhenUsed/>
    <w:qFormat/>
    <w:uiPriority w:val="99"/>
    <w:rPr>
      <w:rFonts w:ascii="宋体" w:hAnsi="Courier New"/>
    </w:rPr>
  </w:style>
  <w:style w:type="paragraph" w:styleId="4">
    <w:name w:val="Balloon Text"/>
    <w:basedOn w:val="1"/>
    <w:link w:val="13"/>
    <w:unhideWhenUsed/>
    <w:qFormat/>
    <w:uiPriority w:val="99"/>
    <w:rPr>
      <w:sz w:val="18"/>
      <w:szCs w:val="18"/>
    </w:rPr>
  </w:style>
  <w:style w:type="paragraph" w:styleId="5">
    <w:name w:val="footer"/>
    <w:basedOn w:val="1"/>
    <w:link w:val="11"/>
    <w:unhideWhenUsed/>
    <w:uiPriority w:val="0"/>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uiPriority w:val="99"/>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uiPriority w:val="0"/>
    <w:rPr>
      <w:rFonts w:ascii="Times New Roman" w:hAnsi="Times New Roman" w:eastAsia="宋体" w:cs="Times New Roman"/>
      <w:sz w:val="18"/>
      <w:szCs w:val="18"/>
    </w:rPr>
  </w:style>
  <w:style w:type="character" w:customStyle="1" w:styleId="12">
    <w:name w:val="纯文本 Char"/>
    <w:basedOn w:val="8"/>
    <w:link w:val="3"/>
    <w:qFormat/>
    <w:uiPriority w:val="99"/>
    <w:rPr>
      <w:rFonts w:ascii="宋体" w:hAnsi="Courier New" w:eastAsia="宋体" w:cs="Times New Roman"/>
      <w:szCs w:val="20"/>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 w:type="character" w:customStyle="1" w:styleId="14">
    <w:name w:val="正文文本 Char"/>
    <w:basedOn w:val="8"/>
    <w:link w:val="2"/>
    <w:qFormat/>
    <w:uiPriority w:val="0"/>
    <w:rPr>
      <w:rFonts w:ascii="Times New Roman" w:hAnsi="Times New Roman" w:eastAsia="宋体" w:cs="Times New Roman"/>
      <w:kern w:val="0"/>
      <w:sz w:val="20"/>
      <w:szCs w:val="2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504</Words>
  <Characters>2876</Characters>
  <Lines>23</Lines>
  <Paragraphs>6</Paragraphs>
  <TotalTime>6</TotalTime>
  <ScaleCrop>false</ScaleCrop>
  <LinksUpToDate>false</LinksUpToDate>
  <CharactersWithSpaces>3374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2016-12-12T02:09:00Z</dcterms:created>
  <dc:creator>A</dc:creator>
  <cp:lastModifiedBy>河南江河～园儿</cp:lastModifiedBy>
  <cp:lastPrinted>2015-08-28T02:46:00Z</cp:lastPrinted>
  <dcterms:modified xsi:type="dcterms:W3CDTF">2022-02-24T02:32:55Z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9CD90829AAD240A1A7F7B3C3BE48E1C7</vt:lpwstr>
  </property>
</Properties>
</file>